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70229A" w:rsidRDefault="0070229A" w:rsidP="0070229A">
      <w:pPr>
        <w:pStyle w:val="NormalnyWeb"/>
        <w:spacing w:after="240" w:afterAutospacing="0" w:line="276" w:lineRule="auto"/>
        <w:jc w:val="center"/>
      </w:pPr>
      <w:r>
        <w:rPr>
          <w:rFonts w:ascii="Tahoma" w:hAnsi="Tahoma" w:cs="Tahoma"/>
          <w:sz w:val="22"/>
          <w:szCs w:val="22"/>
        </w:rPr>
        <w:t>KOMUNIKAT PRASOWY</w:t>
      </w:r>
    </w:p>
    <w:p w:rsidR="00E74043" w:rsidRDefault="004B1587" w:rsidP="00E74043">
      <w:pPr>
        <w:jc w:val="center"/>
      </w:pPr>
      <w:r>
        <w:rPr>
          <w:rFonts w:ascii="Tahoma" w:hAnsi="Tahoma" w:cs="Tahoma"/>
          <w:b/>
          <w:bCs/>
        </w:rPr>
        <w:t xml:space="preserve">PKP CARGO </w:t>
      </w:r>
      <w:r w:rsidR="00B744C1">
        <w:rPr>
          <w:rFonts w:ascii="Tahoma" w:hAnsi="Tahoma" w:cs="Tahoma"/>
          <w:b/>
          <w:bCs/>
        </w:rPr>
        <w:t>dobrym wyborem dla inwestorów</w:t>
      </w:r>
      <w:r>
        <w:rPr>
          <w:rFonts w:ascii="Tahoma" w:hAnsi="Tahoma" w:cs="Tahoma"/>
          <w:b/>
          <w:bCs/>
        </w:rPr>
        <w:t xml:space="preserve">, analitycy prognozują kurs </w:t>
      </w:r>
      <w:r w:rsidR="00B744C1">
        <w:rPr>
          <w:rFonts w:ascii="Tahoma" w:hAnsi="Tahoma" w:cs="Tahoma"/>
          <w:b/>
          <w:bCs/>
        </w:rPr>
        <w:t xml:space="preserve">akcji </w:t>
      </w:r>
      <w:r>
        <w:rPr>
          <w:rFonts w:ascii="Tahoma" w:hAnsi="Tahoma" w:cs="Tahoma"/>
          <w:b/>
          <w:bCs/>
        </w:rPr>
        <w:t xml:space="preserve">na poziomie 100 zł </w:t>
      </w:r>
    </w:p>
    <w:p w:rsidR="00E74043" w:rsidRDefault="00E74043" w:rsidP="00E74043">
      <w:pPr>
        <w:spacing w:after="240"/>
        <w:jc w:val="center"/>
      </w:pPr>
      <w:r>
        <w:rPr>
          <w:rFonts w:ascii="Tahoma" w:hAnsi="Tahoma" w:cs="Tahoma"/>
          <w:b/>
          <w:bCs/>
          <w:sz w:val="20"/>
          <w:szCs w:val="20"/>
        </w:rPr>
        <w:t> </w:t>
      </w:r>
    </w:p>
    <w:p w:rsidR="00E74043" w:rsidRDefault="004B1587" w:rsidP="00127705">
      <w:pPr>
        <w:pStyle w:val="s12"/>
        <w:spacing w:before="75" w:beforeAutospacing="0" w:after="180" w:afterAutospacing="0" w:line="276" w:lineRule="auto"/>
        <w:jc w:val="both"/>
      </w:pPr>
      <w:bookmarkStart w:id="0" w:name="_GoBack"/>
      <w:r>
        <w:rPr>
          <w:rStyle w:val="bumpedfont20"/>
          <w:rFonts w:ascii="Tahoma" w:hAnsi="Tahoma" w:cs="Tahoma"/>
          <w:b/>
          <w:sz w:val="20"/>
          <w:szCs w:val="20"/>
        </w:rPr>
        <w:t>Na koniec czwartkowej sesji</w:t>
      </w:r>
      <w:r w:rsidR="00184C36">
        <w:rPr>
          <w:rStyle w:val="bumpedfont20"/>
          <w:rFonts w:ascii="Tahoma" w:hAnsi="Tahoma" w:cs="Tahoma"/>
          <w:b/>
          <w:sz w:val="20"/>
          <w:szCs w:val="20"/>
        </w:rPr>
        <w:t xml:space="preserve"> po wzroście o 1,34 proc.,</w:t>
      </w:r>
      <w:r>
        <w:rPr>
          <w:rStyle w:val="bumpedfont20"/>
          <w:rFonts w:ascii="Tahoma" w:hAnsi="Tahoma" w:cs="Tahoma"/>
          <w:b/>
          <w:sz w:val="20"/>
          <w:szCs w:val="20"/>
        </w:rPr>
        <w:t xml:space="preserve"> kurs akcji PKP CARGO wyniósł 88,</w:t>
      </w:r>
      <w:r w:rsidR="00771DF7">
        <w:rPr>
          <w:rStyle w:val="bumpedfont20"/>
          <w:rFonts w:ascii="Tahoma" w:hAnsi="Tahoma" w:cs="Tahoma"/>
          <w:b/>
          <w:sz w:val="20"/>
          <w:szCs w:val="20"/>
        </w:rPr>
        <w:t xml:space="preserve">50 </w:t>
      </w:r>
      <w:r>
        <w:rPr>
          <w:rStyle w:val="bumpedfont20"/>
          <w:rFonts w:ascii="Tahoma" w:hAnsi="Tahoma" w:cs="Tahoma"/>
          <w:b/>
          <w:sz w:val="20"/>
          <w:szCs w:val="20"/>
        </w:rPr>
        <w:t xml:space="preserve">zł. </w:t>
      </w:r>
      <w:r w:rsidR="00127705" w:rsidRPr="0021679B">
        <w:rPr>
          <w:rStyle w:val="bumpedfont20"/>
          <w:rFonts w:ascii="Tahoma" w:hAnsi="Tahoma" w:cs="Tahoma"/>
          <w:b/>
          <w:sz w:val="20"/>
          <w:szCs w:val="20"/>
        </w:rPr>
        <w:t> </w:t>
      </w:r>
      <w:r w:rsidR="00BF724B">
        <w:rPr>
          <w:rStyle w:val="bumpedfont20"/>
          <w:rFonts w:ascii="Tahoma" w:hAnsi="Tahoma" w:cs="Tahoma"/>
          <w:b/>
          <w:sz w:val="20"/>
          <w:szCs w:val="20"/>
        </w:rPr>
        <w:t>Kapitalizacja sp</w:t>
      </w:r>
      <w:r w:rsidR="000A4FCF">
        <w:rPr>
          <w:rStyle w:val="bumpedfont20"/>
          <w:rFonts w:ascii="Tahoma" w:hAnsi="Tahoma" w:cs="Tahoma"/>
          <w:b/>
          <w:sz w:val="20"/>
          <w:szCs w:val="20"/>
        </w:rPr>
        <w:t xml:space="preserve">ółki sięgnęła blisko 4 mld zł. </w:t>
      </w:r>
      <w:r>
        <w:rPr>
          <w:rStyle w:val="bumpedfont20"/>
          <w:rFonts w:ascii="Tahoma" w:hAnsi="Tahoma" w:cs="Tahoma"/>
          <w:b/>
          <w:sz w:val="20"/>
          <w:szCs w:val="20"/>
        </w:rPr>
        <w:t xml:space="preserve">Czwartkowe wzrosty to efekt m.in. publikacji wyników za 2014 rok i rekomendacji zarządu dotyczącej wypłaty dywidendy </w:t>
      </w:r>
      <w:r w:rsidR="00BF724B">
        <w:rPr>
          <w:rStyle w:val="bumpedfont20"/>
          <w:rFonts w:ascii="Tahoma" w:hAnsi="Tahoma" w:cs="Tahoma"/>
          <w:b/>
          <w:sz w:val="20"/>
          <w:szCs w:val="20"/>
        </w:rPr>
        <w:br/>
      </w:r>
      <w:r>
        <w:rPr>
          <w:rStyle w:val="bumpedfont20"/>
          <w:rFonts w:ascii="Tahoma" w:hAnsi="Tahoma" w:cs="Tahoma"/>
          <w:b/>
          <w:sz w:val="20"/>
          <w:szCs w:val="20"/>
        </w:rPr>
        <w:t xml:space="preserve">z zysku w wysokości 110 mln zł. Informacje te potwierdzają prognozy analityków </w:t>
      </w:r>
      <w:r w:rsidR="00BF724B">
        <w:rPr>
          <w:rStyle w:val="bumpedfont20"/>
          <w:rFonts w:ascii="Tahoma" w:hAnsi="Tahoma" w:cs="Tahoma"/>
          <w:b/>
          <w:sz w:val="20"/>
          <w:szCs w:val="20"/>
        </w:rPr>
        <w:br/>
      </w:r>
      <w:r>
        <w:rPr>
          <w:rStyle w:val="bumpedfont20"/>
          <w:rFonts w:ascii="Tahoma" w:hAnsi="Tahoma" w:cs="Tahoma"/>
          <w:b/>
          <w:sz w:val="20"/>
          <w:szCs w:val="20"/>
        </w:rPr>
        <w:t xml:space="preserve">o dobrych perspektywach spółki – </w:t>
      </w:r>
      <w:r w:rsidR="00184C36">
        <w:rPr>
          <w:rStyle w:val="bumpedfont20"/>
          <w:rFonts w:ascii="Tahoma" w:hAnsi="Tahoma" w:cs="Tahoma"/>
          <w:b/>
          <w:sz w:val="20"/>
          <w:szCs w:val="20"/>
        </w:rPr>
        <w:t xml:space="preserve">wiodące domy maklerskie </w:t>
      </w:r>
      <w:r w:rsidR="001C2004">
        <w:rPr>
          <w:rStyle w:val="bumpedfont20"/>
          <w:rFonts w:ascii="Tahoma" w:hAnsi="Tahoma" w:cs="Tahoma"/>
          <w:b/>
          <w:sz w:val="20"/>
          <w:szCs w:val="20"/>
        </w:rPr>
        <w:t xml:space="preserve">w rekomendacjach wydawanych od początku roku </w:t>
      </w:r>
      <w:r w:rsidR="00127705">
        <w:rPr>
          <w:rStyle w:val="bumpedfont20"/>
          <w:rFonts w:ascii="Tahoma" w:hAnsi="Tahoma" w:cs="Tahoma"/>
          <w:b/>
          <w:sz w:val="20"/>
          <w:szCs w:val="20"/>
        </w:rPr>
        <w:t>jednoznacznie wskazyw</w:t>
      </w:r>
      <w:r w:rsidR="001C2004">
        <w:rPr>
          <w:rStyle w:val="bumpedfont20"/>
          <w:rFonts w:ascii="Tahoma" w:hAnsi="Tahoma" w:cs="Tahoma"/>
          <w:b/>
          <w:sz w:val="20"/>
          <w:szCs w:val="20"/>
        </w:rPr>
        <w:t>a</w:t>
      </w:r>
      <w:r w:rsidR="00184C36">
        <w:rPr>
          <w:rStyle w:val="bumpedfont20"/>
          <w:rFonts w:ascii="Tahoma" w:hAnsi="Tahoma" w:cs="Tahoma"/>
          <w:b/>
          <w:sz w:val="20"/>
          <w:szCs w:val="20"/>
        </w:rPr>
        <w:t>ły</w:t>
      </w:r>
      <w:r w:rsidR="001C2004">
        <w:rPr>
          <w:rStyle w:val="bumpedfont20"/>
          <w:rFonts w:ascii="Tahoma" w:hAnsi="Tahoma" w:cs="Tahoma"/>
          <w:b/>
          <w:sz w:val="20"/>
          <w:szCs w:val="20"/>
        </w:rPr>
        <w:t xml:space="preserve"> </w:t>
      </w:r>
      <w:r>
        <w:rPr>
          <w:rStyle w:val="bumpedfont20"/>
          <w:rFonts w:ascii="Tahoma" w:hAnsi="Tahoma" w:cs="Tahoma"/>
          <w:b/>
          <w:sz w:val="20"/>
          <w:szCs w:val="20"/>
        </w:rPr>
        <w:t>zalecenia</w:t>
      </w:r>
      <w:r w:rsidR="000A4FCF">
        <w:rPr>
          <w:rStyle w:val="bumpedfont20"/>
          <w:rFonts w:ascii="Tahoma" w:hAnsi="Tahoma" w:cs="Tahoma"/>
          <w:b/>
          <w:sz w:val="20"/>
          <w:szCs w:val="20"/>
        </w:rPr>
        <w:t xml:space="preserve"> </w:t>
      </w:r>
      <w:r w:rsidR="00E74043">
        <w:rPr>
          <w:rFonts w:ascii="Tahoma" w:hAnsi="Tahoma" w:cs="Tahoma"/>
          <w:b/>
          <w:bCs/>
          <w:sz w:val="20"/>
          <w:szCs w:val="20"/>
        </w:rPr>
        <w:t xml:space="preserve">KUPUJ albo TRZYMAJ. </w:t>
      </w:r>
      <w:r w:rsidR="00485664">
        <w:rPr>
          <w:rFonts w:ascii="Tahoma" w:hAnsi="Tahoma" w:cs="Tahoma"/>
          <w:b/>
          <w:bCs/>
          <w:sz w:val="20"/>
          <w:szCs w:val="20"/>
        </w:rPr>
        <w:t xml:space="preserve">Według prognoz części analityków akcje </w:t>
      </w:r>
      <w:r w:rsidR="00127705">
        <w:rPr>
          <w:rFonts w:ascii="Tahoma" w:hAnsi="Tahoma" w:cs="Tahoma"/>
          <w:b/>
          <w:bCs/>
          <w:sz w:val="20"/>
          <w:szCs w:val="20"/>
        </w:rPr>
        <w:t>PKP CARGO</w:t>
      </w:r>
      <w:r w:rsidR="00E74043">
        <w:rPr>
          <w:rFonts w:ascii="Tahoma" w:hAnsi="Tahoma" w:cs="Tahoma"/>
          <w:b/>
          <w:bCs/>
          <w:sz w:val="20"/>
          <w:szCs w:val="20"/>
        </w:rPr>
        <w:t xml:space="preserve"> w perspektywie najbliższych miesięcy mogą przekroczyć wartość 100 zł za akcję.  </w:t>
      </w:r>
    </w:p>
    <w:bookmarkEnd w:id="0"/>
    <w:p w:rsidR="00E74043" w:rsidRPr="008157C5" w:rsidRDefault="00E74043" w:rsidP="00E74043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Skuteczna realizacja strategii rozwoju międzynarodowego oraz efektywnie wdrażana optymalizacja kosztów, znalazły odzwierciedlenie w zainteresowaniu inwestorów spółką. Analitycy zgodni</w:t>
      </w:r>
      <w:r w:rsidR="00960CCA">
        <w:rPr>
          <w:rFonts w:ascii="Tahoma" w:hAnsi="Tahoma" w:cs="Tahoma"/>
          <w:sz w:val="20"/>
          <w:szCs w:val="20"/>
        </w:rPr>
        <w:t>e podwyższali cenę docelową akcji</w:t>
      </w:r>
      <w:r>
        <w:rPr>
          <w:rFonts w:ascii="Tahoma" w:hAnsi="Tahoma" w:cs="Tahoma"/>
          <w:sz w:val="20"/>
          <w:szCs w:val="20"/>
        </w:rPr>
        <w:t xml:space="preserve"> PKP CARGO. </w:t>
      </w:r>
      <w:r w:rsidR="00184C36">
        <w:rPr>
          <w:rFonts w:ascii="Tahoma" w:hAnsi="Tahoma" w:cs="Tahoma"/>
          <w:sz w:val="20"/>
          <w:szCs w:val="20"/>
        </w:rPr>
        <w:t>Cztery</w:t>
      </w:r>
      <w:r w:rsidR="00707321">
        <w:rPr>
          <w:rFonts w:ascii="Tahoma" w:hAnsi="Tahoma" w:cs="Tahoma"/>
          <w:sz w:val="20"/>
          <w:szCs w:val="20"/>
        </w:rPr>
        <w:t xml:space="preserve"> domy maklerskie </w:t>
      </w:r>
      <w:r>
        <w:rPr>
          <w:rFonts w:ascii="Tahoma" w:hAnsi="Tahoma" w:cs="Tahoma"/>
          <w:sz w:val="20"/>
          <w:szCs w:val="20"/>
        </w:rPr>
        <w:t xml:space="preserve">ustaliły </w:t>
      </w:r>
      <w:r w:rsidR="001C2004">
        <w:rPr>
          <w:rFonts w:ascii="Tahoma" w:hAnsi="Tahoma" w:cs="Tahoma"/>
          <w:sz w:val="20"/>
          <w:szCs w:val="20"/>
        </w:rPr>
        <w:t xml:space="preserve">ją </w:t>
      </w:r>
      <w:r>
        <w:rPr>
          <w:rFonts w:ascii="Tahoma" w:hAnsi="Tahoma" w:cs="Tahoma"/>
          <w:sz w:val="20"/>
          <w:szCs w:val="20"/>
        </w:rPr>
        <w:t>na poziomie nieco niższy</w:t>
      </w:r>
      <w:r w:rsidR="00707321">
        <w:rPr>
          <w:rFonts w:ascii="Tahoma" w:hAnsi="Tahoma" w:cs="Tahoma"/>
          <w:sz w:val="20"/>
          <w:szCs w:val="20"/>
        </w:rPr>
        <w:t>m niż 100 zł (BESI: 98,90 zł,</w:t>
      </w:r>
      <w:r>
        <w:rPr>
          <w:rFonts w:ascii="Tahoma" w:hAnsi="Tahoma" w:cs="Tahoma"/>
          <w:sz w:val="20"/>
          <w:szCs w:val="20"/>
        </w:rPr>
        <w:t xml:space="preserve"> </w:t>
      </w:r>
      <w:r w:rsidR="00184C36">
        <w:rPr>
          <w:rFonts w:ascii="Tahoma" w:hAnsi="Tahoma" w:cs="Tahoma"/>
          <w:sz w:val="20"/>
          <w:szCs w:val="20"/>
        </w:rPr>
        <w:t>R</w:t>
      </w:r>
      <w:r w:rsidR="00184C36">
        <w:rPr>
          <w:rFonts w:ascii="Tahoma" w:hAnsi="Tahoma" w:cs="Tahoma"/>
          <w:color w:val="000000"/>
          <w:sz w:val="20"/>
          <w:szCs w:val="20"/>
        </w:rPr>
        <w:t xml:space="preserve">aiffeisen: 97 zł, </w:t>
      </w:r>
      <w:r>
        <w:rPr>
          <w:rFonts w:ascii="Tahoma" w:hAnsi="Tahoma" w:cs="Tahoma"/>
          <w:sz w:val="20"/>
          <w:szCs w:val="20"/>
        </w:rPr>
        <w:t xml:space="preserve">DI </w:t>
      </w:r>
      <w:proofErr w:type="spellStart"/>
      <w:r>
        <w:rPr>
          <w:rFonts w:ascii="Tahoma" w:hAnsi="Tahoma" w:cs="Tahoma"/>
          <w:sz w:val="20"/>
          <w:szCs w:val="20"/>
        </w:rPr>
        <w:t>Investors</w:t>
      </w:r>
      <w:proofErr w:type="spellEnd"/>
      <w:r>
        <w:rPr>
          <w:rFonts w:ascii="Tahoma" w:hAnsi="Tahoma" w:cs="Tahoma"/>
          <w:sz w:val="20"/>
          <w:szCs w:val="20"/>
        </w:rPr>
        <w:t>: 97 zł</w:t>
      </w:r>
      <w:r w:rsidR="00707321">
        <w:rPr>
          <w:rFonts w:ascii="Tahoma" w:hAnsi="Tahoma" w:cs="Tahoma"/>
          <w:sz w:val="20"/>
          <w:szCs w:val="20"/>
        </w:rPr>
        <w:t xml:space="preserve"> oraz DM PKO BP: </w:t>
      </w:r>
      <w:r w:rsidR="00771DF7">
        <w:rPr>
          <w:rFonts w:ascii="Tahoma" w:hAnsi="Tahoma" w:cs="Tahoma"/>
          <w:sz w:val="20"/>
          <w:szCs w:val="20"/>
        </w:rPr>
        <w:t>93,00</w:t>
      </w:r>
      <w:r w:rsidR="00707321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). </w:t>
      </w:r>
      <w:r w:rsidR="00184C36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kolei </w:t>
      </w:r>
      <w:proofErr w:type="spellStart"/>
      <w:r>
        <w:rPr>
          <w:rFonts w:ascii="Tahoma" w:hAnsi="Tahoma" w:cs="Tahoma"/>
          <w:sz w:val="20"/>
          <w:szCs w:val="20"/>
        </w:rPr>
        <w:t>Wood&amp;Company</w:t>
      </w:r>
      <w:proofErr w:type="spellEnd"/>
      <w:r>
        <w:rPr>
          <w:rFonts w:ascii="Tahoma" w:hAnsi="Tahoma" w:cs="Tahoma"/>
          <w:sz w:val="20"/>
          <w:szCs w:val="20"/>
        </w:rPr>
        <w:t xml:space="preserve">, w raporcie z 30 stycznia, prognozuje, że cena ta wyniesie 107 zł, analitycy </w:t>
      </w:r>
      <w:proofErr w:type="spellStart"/>
      <w:r>
        <w:rPr>
          <w:rFonts w:ascii="Tahoma" w:hAnsi="Tahoma" w:cs="Tahoma"/>
          <w:sz w:val="20"/>
          <w:szCs w:val="20"/>
        </w:rPr>
        <w:t>Ipopemy</w:t>
      </w:r>
      <w:proofErr w:type="spellEnd"/>
      <w:r>
        <w:rPr>
          <w:rFonts w:ascii="Tahoma" w:hAnsi="Tahoma" w:cs="Tahoma"/>
          <w:sz w:val="20"/>
          <w:szCs w:val="20"/>
        </w:rPr>
        <w:t xml:space="preserve"> w raporcie z 27 stycznia wskazują, że może ona osiągnąć wartość nawet 109 zł, a </w:t>
      </w:r>
      <w:proofErr w:type="spellStart"/>
      <w:r>
        <w:rPr>
          <w:rFonts w:ascii="Tahoma" w:hAnsi="Tahoma" w:cs="Tahoma"/>
          <w:sz w:val="20"/>
          <w:szCs w:val="20"/>
        </w:rPr>
        <w:t>Societe</w:t>
      </w:r>
      <w:proofErr w:type="spellEnd"/>
      <w:r>
        <w:rPr>
          <w:rFonts w:ascii="Tahoma" w:hAnsi="Tahoma" w:cs="Tahoma"/>
          <w:sz w:val="20"/>
          <w:szCs w:val="20"/>
        </w:rPr>
        <w:t xml:space="preserve"> Generale 9 lutego ustalił cenę docelową na poziomie 104,00 zł.</w:t>
      </w:r>
      <w:r>
        <w:rPr>
          <w:rFonts w:ascii="Tahoma" w:hAnsi="Tahoma" w:cs="Tahoma"/>
          <w:i/>
          <w:iCs/>
          <w:sz w:val="20"/>
          <w:szCs w:val="20"/>
        </w:rPr>
        <w:t> </w:t>
      </w:r>
    </w:p>
    <w:p w:rsidR="001C2004" w:rsidRDefault="00E74043" w:rsidP="001C2004">
      <w:pPr>
        <w:spacing w:after="24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Inwestorzy doceniają naszą konsekwencję w realizacji strategii rozwoju i podnoszenia wartości spółki. </w:t>
      </w:r>
      <w:r w:rsidR="001C2004">
        <w:rPr>
          <w:rFonts w:ascii="Tahoma" w:hAnsi="Tahoma" w:cs="Tahoma"/>
          <w:i/>
          <w:iCs/>
          <w:sz w:val="20"/>
          <w:szCs w:val="20"/>
        </w:rPr>
        <w:t xml:space="preserve">Tylko w przeciągu ostatnich kilku miesięcy </w:t>
      </w:r>
      <w:r>
        <w:rPr>
          <w:rFonts w:ascii="Tahoma" w:hAnsi="Tahoma" w:cs="Tahoma"/>
          <w:i/>
          <w:iCs/>
          <w:sz w:val="20"/>
          <w:szCs w:val="20"/>
        </w:rPr>
        <w:t xml:space="preserve">z sukcesem podjęliśmy trzy bardzo istotne przedsięwzięcia, w tym dwie duże </w:t>
      </w:r>
      <w:r w:rsidR="002041AD">
        <w:rPr>
          <w:rFonts w:ascii="Tahoma" w:hAnsi="Tahoma" w:cs="Tahoma"/>
          <w:i/>
          <w:iCs/>
          <w:sz w:val="20"/>
          <w:szCs w:val="20"/>
        </w:rPr>
        <w:t xml:space="preserve">planowane </w:t>
      </w:r>
      <w:r>
        <w:rPr>
          <w:rFonts w:ascii="Tahoma" w:hAnsi="Tahoma" w:cs="Tahoma"/>
          <w:i/>
          <w:iCs/>
          <w:sz w:val="20"/>
          <w:szCs w:val="20"/>
        </w:rPr>
        <w:t xml:space="preserve">akwizycje w Polsce i </w:t>
      </w:r>
      <w:r w:rsidR="002041AD">
        <w:rPr>
          <w:rFonts w:ascii="Tahoma" w:hAnsi="Tahoma" w:cs="Tahoma"/>
          <w:i/>
          <w:iCs/>
          <w:sz w:val="20"/>
          <w:szCs w:val="20"/>
        </w:rPr>
        <w:t xml:space="preserve">w Czechach </w:t>
      </w:r>
      <w:r>
        <w:rPr>
          <w:rFonts w:ascii="Tahoma" w:hAnsi="Tahoma" w:cs="Tahoma"/>
          <w:i/>
          <w:iCs/>
          <w:sz w:val="20"/>
          <w:szCs w:val="20"/>
        </w:rPr>
        <w:t>oraz Program Dobro</w:t>
      </w:r>
      <w:r w:rsidR="001C2004">
        <w:rPr>
          <w:rFonts w:ascii="Tahoma" w:hAnsi="Tahoma" w:cs="Tahoma"/>
          <w:i/>
          <w:iCs/>
          <w:sz w:val="20"/>
          <w:szCs w:val="20"/>
        </w:rPr>
        <w:t>wolnych Odejść, dzięki którem</w:t>
      </w:r>
      <w:r w:rsidR="002041AD">
        <w:rPr>
          <w:rFonts w:ascii="Tahoma" w:hAnsi="Tahoma" w:cs="Tahoma"/>
          <w:i/>
          <w:iCs/>
          <w:sz w:val="20"/>
          <w:szCs w:val="20"/>
        </w:rPr>
        <w:t>u</w:t>
      </w:r>
      <w:r w:rsidR="001C2004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w najbliższych latach będziemy uzyskiwać w skali grupy oszczędności przekraczające 100 mln zł rocznie </w:t>
      </w:r>
      <w:r>
        <w:rPr>
          <w:rFonts w:ascii="Tahoma" w:hAnsi="Tahoma" w:cs="Tahoma"/>
          <w:bCs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mówi </w:t>
      </w:r>
      <w:r w:rsidR="00BB2BA8">
        <w:rPr>
          <w:rFonts w:ascii="Tahoma" w:hAnsi="Tahoma" w:cs="Tahoma"/>
          <w:b/>
          <w:bCs/>
          <w:sz w:val="20"/>
          <w:szCs w:val="20"/>
        </w:rPr>
        <w:t>Adam Purwin</w:t>
      </w:r>
      <w:r>
        <w:rPr>
          <w:rFonts w:ascii="Tahoma" w:hAnsi="Tahoma" w:cs="Tahoma"/>
          <w:sz w:val="20"/>
          <w:szCs w:val="20"/>
        </w:rPr>
        <w:t xml:space="preserve">, </w:t>
      </w:r>
      <w:r w:rsidR="00BB2BA8">
        <w:rPr>
          <w:rFonts w:ascii="Tahoma" w:hAnsi="Tahoma" w:cs="Tahoma"/>
          <w:sz w:val="20"/>
          <w:szCs w:val="20"/>
        </w:rPr>
        <w:t xml:space="preserve">prezes </w:t>
      </w:r>
      <w:r>
        <w:rPr>
          <w:rFonts w:ascii="Tahoma" w:hAnsi="Tahoma" w:cs="Tahoma"/>
          <w:sz w:val="20"/>
          <w:szCs w:val="20"/>
        </w:rPr>
        <w:t xml:space="preserve">zarządu </w:t>
      </w:r>
      <w:r w:rsidR="00BB2BA8">
        <w:rPr>
          <w:rFonts w:ascii="Tahoma" w:hAnsi="Tahoma" w:cs="Tahoma"/>
          <w:sz w:val="20"/>
          <w:szCs w:val="20"/>
        </w:rPr>
        <w:t>PKP CARGO</w:t>
      </w:r>
      <w:r>
        <w:rPr>
          <w:rFonts w:ascii="Tahoma" w:hAnsi="Tahoma" w:cs="Tahoma"/>
          <w:sz w:val="20"/>
          <w:szCs w:val="20"/>
        </w:rPr>
        <w:t>. –</w:t>
      </w:r>
      <w:r w:rsidR="00443DE2">
        <w:rPr>
          <w:rFonts w:ascii="Tahoma" w:hAnsi="Tahoma" w:cs="Tahoma"/>
          <w:sz w:val="20"/>
          <w:szCs w:val="20"/>
        </w:rPr>
        <w:t xml:space="preserve"> 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 xml:space="preserve">Po ponad rocznej obecności na giełdzie udowodniliśmy, że jesteśmy spółką nie tylko efektywną, ale również </w:t>
      </w:r>
      <w:r w:rsidR="00485664">
        <w:rPr>
          <w:rFonts w:ascii="Tahoma" w:hAnsi="Tahoma" w:cs="Tahoma"/>
          <w:i/>
          <w:iCs/>
          <w:sz w:val="20"/>
          <w:szCs w:val="20"/>
        </w:rPr>
        <w:t>realizującą strategię zapowiedzianą podczas debiutu giełdowego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 xml:space="preserve">. Potwierdzeniem tego jest rekomendacja zarządu, by w tym roku wypłacić dywidendę  </w:t>
      </w:r>
      <w:r w:rsidR="001C2004" w:rsidRPr="00443DE2">
        <w:rPr>
          <w:rStyle w:val="bumpedfont20"/>
          <w:rFonts w:ascii="Tahoma" w:hAnsi="Tahoma" w:cs="Tahoma"/>
          <w:i/>
          <w:sz w:val="20"/>
          <w:szCs w:val="20"/>
        </w:rPr>
        <w:t>w wysokości 110 mln zł.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 xml:space="preserve"> Dodatkowo, pod względem marży EBITDA, nasza firma już dziś jest jednym z najbardziej rentownych podmiotów </w:t>
      </w:r>
      <w:r w:rsidR="00184C36">
        <w:rPr>
          <w:rFonts w:ascii="Tahoma" w:hAnsi="Tahoma" w:cs="Tahoma"/>
          <w:i/>
          <w:iCs/>
          <w:sz w:val="20"/>
          <w:szCs w:val="20"/>
        </w:rPr>
        <w:br/>
      </w:r>
      <w:r w:rsidR="00771DF7">
        <w:rPr>
          <w:rFonts w:ascii="Tahoma" w:hAnsi="Tahoma" w:cs="Tahoma"/>
          <w:i/>
          <w:iCs/>
          <w:sz w:val="20"/>
          <w:szCs w:val="20"/>
        </w:rPr>
        <w:t xml:space="preserve">w branży </w:t>
      </w:r>
      <w:r w:rsidR="00771DF7" w:rsidRPr="00443DE2">
        <w:rPr>
          <w:rFonts w:ascii="Tahoma" w:hAnsi="Tahoma" w:cs="Tahoma"/>
          <w:i/>
          <w:iCs/>
          <w:sz w:val="20"/>
          <w:szCs w:val="20"/>
        </w:rPr>
        <w:t>transportow</w:t>
      </w:r>
      <w:r w:rsidR="00771DF7">
        <w:rPr>
          <w:rFonts w:ascii="Tahoma" w:hAnsi="Tahoma" w:cs="Tahoma"/>
          <w:i/>
          <w:iCs/>
          <w:sz w:val="20"/>
          <w:szCs w:val="20"/>
        </w:rPr>
        <w:t>ej</w:t>
      </w:r>
      <w:r w:rsidR="00771DF7" w:rsidRPr="00443DE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>w U</w:t>
      </w:r>
      <w:r w:rsidR="00BB2BA8">
        <w:rPr>
          <w:rFonts w:ascii="Tahoma" w:hAnsi="Tahoma" w:cs="Tahoma"/>
          <w:i/>
          <w:iCs/>
          <w:sz w:val="20"/>
          <w:szCs w:val="20"/>
        </w:rPr>
        <w:t xml:space="preserve">nii 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>E</w:t>
      </w:r>
      <w:r w:rsidR="00BB2BA8">
        <w:rPr>
          <w:rFonts w:ascii="Tahoma" w:hAnsi="Tahoma" w:cs="Tahoma"/>
          <w:i/>
          <w:iCs/>
          <w:sz w:val="20"/>
          <w:szCs w:val="20"/>
        </w:rPr>
        <w:t>uropejskiej</w:t>
      </w:r>
      <w:r w:rsidR="00443DE2" w:rsidRPr="00443DE2">
        <w:rPr>
          <w:rFonts w:ascii="Tahoma" w:hAnsi="Tahoma" w:cs="Tahoma"/>
          <w:i/>
          <w:iCs/>
          <w:sz w:val="20"/>
          <w:szCs w:val="20"/>
        </w:rPr>
        <w:t>.</w:t>
      </w:r>
    </w:p>
    <w:p w:rsidR="00BB2BA8" w:rsidRPr="00485664" w:rsidRDefault="00BB2BA8" w:rsidP="00BB2BA8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485664">
        <w:rPr>
          <w:rFonts w:ascii="Tahoma" w:hAnsi="Tahoma" w:cs="Tahoma"/>
          <w:sz w:val="20"/>
          <w:szCs w:val="20"/>
        </w:rPr>
        <w:t>Od ceny sprzedaży ustalonej w ofercie publicznej z jesieni 2013 roku (68 zł), wartość akcji PKP CARGO SA wzrosła o ok</w:t>
      </w:r>
      <w:r w:rsidR="00184C36">
        <w:rPr>
          <w:rFonts w:ascii="Tahoma" w:hAnsi="Tahoma" w:cs="Tahoma"/>
          <w:sz w:val="20"/>
          <w:szCs w:val="20"/>
        </w:rPr>
        <w:t>.</w:t>
      </w:r>
      <w:r w:rsidRPr="00485664">
        <w:rPr>
          <w:rFonts w:ascii="Tahoma" w:hAnsi="Tahoma" w:cs="Tahoma"/>
          <w:sz w:val="20"/>
          <w:szCs w:val="20"/>
        </w:rPr>
        <w:t xml:space="preserve"> 30 proc. </w:t>
      </w:r>
      <w:r w:rsidR="00184C36">
        <w:rPr>
          <w:rFonts w:ascii="Tahoma" w:hAnsi="Tahoma" w:cs="Tahoma"/>
          <w:sz w:val="20"/>
          <w:szCs w:val="20"/>
        </w:rPr>
        <w:t>Dodatkowo, a</w:t>
      </w:r>
      <w:r w:rsidRPr="00485664">
        <w:rPr>
          <w:rFonts w:ascii="Tahoma" w:hAnsi="Tahoma" w:cs="Tahoma"/>
          <w:sz w:val="20"/>
          <w:szCs w:val="20"/>
        </w:rPr>
        <w:t>kcje PKP CARGO zachow</w:t>
      </w:r>
      <w:r w:rsidRPr="00BB2BA8">
        <w:rPr>
          <w:rFonts w:ascii="Tahoma" w:hAnsi="Tahoma" w:cs="Tahoma"/>
          <w:sz w:val="20"/>
          <w:szCs w:val="20"/>
        </w:rPr>
        <w:t>ują się lepiej niż indeks mWIG4</w:t>
      </w:r>
      <w:r>
        <w:rPr>
          <w:rFonts w:ascii="Tahoma" w:hAnsi="Tahoma" w:cs="Tahoma"/>
          <w:sz w:val="20"/>
          <w:szCs w:val="20"/>
        </w:rPr>
        <w:t xml:space="preserve">0, </w:t>
      </w:r>
      <w:r w:rsidR="00184C36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skład którego wchodzą walory przewoźnika</w:t>
      </w:r>
      <w:r w:rsidRPr="00485664">
        <w:rPr>
          <w:rFonts w:ascii="Tahoma" w:hAnsi="Tahoma" w:cs="Tahoma"/>
          <w:sz w:val="20"/>
          <w:szCs w:val="20"/>
        </w:rPr>
        <w:t xml:space="preserve">. Porównując do spółek o podobnym profilu, czyli rosyjskich </w:t>
      </w:r>
      <w:r w:rsidR="00A93A52">
        <w:rPr>
          <w:rFonts w:ascii="Tahoma" w:hAnsi="Tahoma" w:cs="Tahoma"/>
          <w:sz w:val="20"/>
          <w:szCs w:val="20"/>
        </w:rPr>
        <w:t xml:space="preserve">firm: </w:t>
      </w:r>
      <w:proofErr w:type="spellStart"/>
      <w:r w:rsidRPr="00485664">
        <w:rPr>
          <w:rFonts w:ascii="Tahoma" w:hAnsi="Tahoma" w:cs="Tahoma"/>
          <w:sz w:val="20"/>
          <w:szCs w:val="20"/>
        </w:rPr>
        <w:t>GlobalTrans</w:t>
      </w:r>
      <w:proofErr w:type="spellEnd"/>
      <w:r w:rsidRPr="0048566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85664">
        <w:rPr>
          <w:rFonts w:ascii="Tahoma" w:hAnsi="Tahoma" w:cs="Tahoma"/>
          <w:sz w:val="20"/>
          <w:szCs w:val="20"/>
        </w:rPr>
        <w:t>TransContainer</w:t>
      </w:r>
      <w:proofErr w:type="spellEnd"/>
      <w:r w:rsidRPr="00485664">
        <w:rPr>
          <w:rFonts w:ascii="Tahoma" w:hAnsi="Tahoma" w:cs="Tahoma"/>
          <w:sz w:val="20"/>
          <w:szCs w:val="20"/>
        </w:rPr>
        <w:t xml:space="preserve"> notowanych w Londynie</w:t>
      </w:r>
      <w:r w:rsidR="00A93A52">
        <w:rPr>
          <w:rFonts w:ascii="Tahoma" w:hAnsi="Tahoma" w:cs="Tahoma"/>
          <w:sz w:val="20"/>
          <w:szCs w:val="20"/>
        </w:rPr>
        <w:t>,</w:t>
      </w:r>
      <w:r w:rsidR="00184C36">
        <w:rPr>
          <w:rFonts w:ascii="Tahoma" w:hAnsi="Tahoma" w:cs="Tahoma"/>
          <w:sz w:val="20"/>
          <w:szCs w:val="20"/>
        </w:rPr>
        <w:t xml:space="preserve"> polska spółka</w:t>
      </w:r>
      <w:r w:rsidRPr="00485664">
        <w:rPr>
          <w:rFonts w:ascii="Tahoma" w:hAnsi="Tahoma" w:cs="Tahoma"/>
          <w:sz w:val="20"/>
          <w:szCs w:val="20"/>
        </w:rPr>
        <w:t xml:space="preserve"> przyniosła </w:t>
      </w:r>
      <w:r w:rsidR="00184C36">
        <w:rPr>
          <w:rFonts w:ascii="Tahoma" w:hAnsi="Tahoma" w:cs="Tahoma"/>
          <w:sz w:val="20"/>
          <w:szCs w:val="20"/>
        </w:rPr>
        <w:t xml:space="preserve">także </w:t>
      </w:r>
      <w:r w:rsidRPr="00485664">
        <w:rPr>
          <w:rFonts w:ascii="Tahoma" w:hAnsi="Tahoma" w:cs="Tahoma"/>
          <w:sz w:val="20"/>
          <w:szCs w:val="20"/>
        </w:rPr>
        <w:t>od jesieni 2013 roku wyższą stopę zwrotu</w:t>
      </w:r>
      <w:r>
        <w:rPr>
          <w:rFonts w:ascii="Tahoma" w:hAnsi="Tahoma" w:cs="Tahoma"/>
          <w:sz w:val="20"/>
          <w:szCs w:val="20"/>
        </w:rPr>
        <w:t>.</w:t>
      </w:r>
    </w:p>
    <w:p w:rsidR="008157C5" w:rsidRDefault="00707321" w:rsidP="00E74043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Celem PKP CARGO na </w:t>
      </w:r>
      <w:r w:rsidR="00E74043">
        <w:rPr>
          <w:rFonts w:ascii="Tahoma" w:hAnsi="Tahoma" w:cs="Tahoma"/>
          <w:sz w:val="20"/>
          <w:szCs w:val="20"/>
        </w:rPr>
        <w:t>2015 rok</w:t>
      </w:r>
      <w:r>
        <w:rPr>
          <w:rFonts w:ascii="Tahoma" w:hAnsi="Tahoma" w:cs="Tahoma"/>
          <w:sz w:val="20"/>
          <w:szCs w:val="20"/>
        </w:rPr>
        <w:t xml:space="preserve"> jest</w:t>
      </w:r>
      <w:r w:rsidR="00E740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poszerzanie bazy klientów, jeszcze efektywniejsze wykorzystanie zaplecza taborowego, umocnienie </w:t>
      </w:r>
      <w:r w:rsidR="001A1E24">
        <w:rPr>
          <w:rFonts w:ascii="Tahoma" w:hAnsi="Tahoma" w:cs="Tahoma"/>
          <w:sz w:val="20"/>
          <w:szCs w:val="20"/>
        </w:rPr>
        <w:t xml:space="preserve">pozycji </w:t>
      </w:r>
      <w:r>
        <w:rPr>
          <w:rFonts w:ascii="Tahoma" w:hAnsi="Tahoma" w:cs="Tahoma"/>
          <w:sz w:val="20"/>
          <w:szCs w:val="20"/>
        </w:rPr>
        <w:t xml:space="preserve">zintegrowanego operatora logistycznego oraz </w:t>
      </w:r>
      <w:r w:rsidR="001A1E24">
        <w:rPr>
          <w:rFonts w:ascii="Tahoma" w:hAnsi="Tahoma" w:cs="Tahoma"/>
          <w:sz w:val="20"/>
          <w:szCs w:val="20"/>
        </w:rPr>
        <w:t xml:space="preserve">ekspansji </w:t>
      </w:r>
      <w:r w:rsidR="001A1E24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w Europie, zwłaszcza w trójkącie Bałtyk-Adriatyk-Morze Północne. Osiągnięcie tego celu </w:t>
      </w:r>
      <w:r w:rsidR="001A1E24">
        <w:rPr>
          <w:rFonts w:ascii="Tahoma" w:hAnsi="Tahoma" w:cs="Tahoma"/>
          <w:sz w:val="20"/>
          <w:szCs w:val="20"/>
        </w:rPr>
        <w:t xml:space="preserve">ułatwiają akwizycje i umowy PKP CARGO z ostatnich kilku miesięcy. Zarówno </w:t>
      </w:r>
      <w:r w:rsidR="008157C5">
        <w:rPr>
          <w:rFonts w:ascii="Tahoma" w:hAnsi="Tahoma" w:cs="Tahoma"/>
          <w:sz w:val="20"/>
          <w:szCs w:val="20"/>
        </w:rPr>
        <w:t xml:space="preserve">planowany </w:t>
      </w:r>
      <w:r w:rsidR="001A1E24">
        <w:rPr>
          <w:rFonts w:ascii="Tahoma" w:hAnsi="Tahoma" w:cs="Tahoma"/>
          <w:sz w:val="20"/>
          <w:szCs w:val="20"/>
        </w:rPr>
        <w:t xml:space="preserve">zakup </w:t>
      </w:r>
      <w:r w:rsidR="00771DF7">
        <w:rPr>
          <w:rFonts w:ascii="Tahoma" w:hAnsi="Tahoma" w:cs="Tahoma"/>
          <w:sz w:val="20"/>
          <w:szCs w:val="20"/>
        </w:rPr>
        <w:t>AWT</w:t>
      </w:r>
      <w:r>
        <w:rPr>
          <w:rFonts w:ascii="Tahoma" w:hAnsi="Tahoma" w:cs="Tahoma"/>
          <w:sz w:val="20"/>
          <w:szCs w:val="20"/>
        </w:rPr>
        <w:t>,</w:t>
      </w:r>
      <w:r w:rsidR="001A1E24">
        <w:rPr>
          <w:rFonts w:ascii="Tahoma" w:hAnsi="Tahoma" w:cs="Tahoma"/>
          <w:sz w:val="20"/>
          <w:szCs w:val="20"/>
        </w:rPr>
        <w:t xml:space="preserve"> jak </w:t>
      </w:r>
      <w:r w:rsidR="00184C36">
        <w:rPr>
          <w:rFonts w:ascii="Tahoma" w:hAnsi="Tahoma" w:cs="Tahoma"/>
          <w:sz w:val="20"/>
          <w:szCs w:val="20"/>
        </w:rPr>
        <w:br/>
      </w:r>
      <w:r w:rsidR="001A1E24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z</w:t>
      </w:r>
      <w:r w:rsidR="001A1E24">
        <w:rPr>
          <w:rFonts w:ascii="Tahoma" w:hAnsi="Tahoma" w:cs="Tahoma"/>
          <w:sz w:val="20"/>
          <w:szCs w:val="20"/>
        </w:rPr>
        <w:t>awarcie porozumienia z HZ Cargo otwierają spółce drogę do umocnienia pozycji w Europie</w:t>
      </w:r>
      <w:r w:rsidR="008157C5">
        <w:rPr>
          <w:rFonts w:ascii="Tahoma" w:hAnsi="Tahoma" w:cs="Tahoma"/>
          <w:sz w:val="20"/>
          <w:szCs w:val="20"/>
        </w:rPr>
        <w:t xml:space="preserve"> Środkowej i Południowej</w:t>
      </w:r>
      <w:r w:rsidR="001A1E24">
        <w:rPr>
          <w:rFonts w:ascii="Tahoma" w:hAnsi="Tahoma" w:cs="Tahoma"/>
          <w:sz w:val="20"/>
          <w:szCs w:val="20"/>
        </w:rPr>
        <w:t>. Natomiast przejęcie cał</w:t>
      </w:r>
      <w:r>
        <w:rPr>
          <w:rFonts w:ascii="Tahoma" w:hAnsi="Tahoma" w:cs="Tahoma"/>
          <w:sz w:val="20"/>
          <w:szCs w:val="20"/>
        </w:rPr>
        <w:t>kowi</w:t>
      </w:r>
      <w:r w:rsidR="001A1E24">
        <w:rPr>
          <w:rFonts w:ascii="Tahoma" w:hAnsi="Tahoma" w:cs="Tahoma"/>
          <w:sz w:val="20"/>
          <w:szCs w:val="20"/>
        </w:rPr>
        <w:t>tej kontroli nad PS Trade Trans zwięks</w:t>
      </w:r>
      <w:r w:rsidR="008157C5">
        <w:rPr>
          <w:rFonts w:ascii="Tahoma" w:hAnsi="Tahoma" w:cs="Tahoma"/>
          <w:sz w:val="20"/>
          <w:szCs w:val="20"/>
        </w:rPr>
        <w:t>zy</w:t>
      </w:r>
      <w:r w:rsidR="001A1E24">
        <w:rPr>
          <w:rFonts w:ascii="Tahoma" w:hAnsi="Tahoma" w:cs="Tahoma"/>
          <w:sz w:val="20"/>
          <w:szCs w:val="20"/>
        </w:rPr>
        <w:t xml:space="preserve"> portfolio oferowanych usług.</w:t>
      </w:r>
      <w:r>
        <w:rPr>
          <w:rFonts w:ascii="Tahoma" w:hAnsi="Tahoma" w:cs="Tahoma"/>
          <w:sz w:val="20"/>
          <w:szCs w:val="20"/>
        </w:rPr>
        <w:t xml:space="preserve"> Dodatkowo, </w:t>
      </w:r>
      <w:r w:rsidR="008157C5">
        <w:rPr>
          <w:rFonts w:ascii="Tahoma" w:hAnsi="Tahoma" w:cs="Tahoma"/>
          <w:sz w:val="20"/>
          <w:szCs w:val="20"/>
        </w:rPr>
        <w:t>w lutym</w:t>
      </w:r>
      <w:r w:rsidR="00E74043">
        <w:rPr>
          <w:rFonts w:ascii="Tahoma" w:hAnsi="Tahoma" w:cs="Tahoma"/>
          <w:sz w:val="20"/>
          <w:szCs w:val="20"/>
        </w:rPr>
        <w:t xml:space="preserve"> PKP CARGO zawarło z KGHM wstępne porozumienie, dotyczące zakupu od miedziowego giganta 49 proc. udziałów</w:t>
      </w:r>
      <w:r>
        <w:rPr>
          <w:rFonts w:ascii="Tahoma" w:hAnsi="Tahoma" w:cs="Tahoma"/>
          <w:sz w:val="20"/>
          <w:szCs w:val="20"/>
        </w:rPr>
        <w:t xml:space="preserve"> w spółce Pol-Miedź Trans (PMT), co oznacza </w:t>
      </w:r>
      <w:r w:rsidR="00E74043">
        <w:rPr>
          <w:rFonts w:ascii="Tahoma" w:hAnsi="Tahoma" w:cs="Tahoma"/>
          <w:sz w:val="20"/>
          <w:szCs w:val="20"/>
        </w:rPr>
        <w:t>poszerzenie bazy klientów i możliwość bardziej efektywnego wykorzystania zaplecza taborowego</w:t>
      </w:r>
      <w:r w:rsidR="00E74043">
        <w:rPr>
          <w:rFonts w:ascii="Arial" w:hAnsi="Arial" w:cs="Arial"/>
          <w:color w:val="888888"/>
          <w:shd w:val="clear" w:color="auto" w:fill="FFFFFF"/>
        </w:rPr>
        <w:t>.</w:t>
      </w:r>
      <w:r w:rsidR="00E74043">
        <w:rPr>
          <w:rStyle w:val="apple-converted-space"/>
          <w:rFonts w:ascii="Arial" w:hAnsi="Arial" w:cs="Arial"/>
          <w:color w:val="888888"/>
          <w:shd w:val="clear" w:color="auto" w:fill="FFFFFF"/>
        </w:rPr>
        <w:t> </w:t>
      </w:r>
      <w:r w:rsidR="00E74043">
        <w:rPr>
          <w:rFonts w:ascii="Tahoma" w:hAnsi="Tahoma" w:cs="Tahoma"/>
          <w:sz w:val="20"/>
          <w:szCs w:val="20"/>
        </w:rPr>
        <w:t xml:space="preserve"> </w:t>
      </w:r>
    </w:p>
    <w:p w:rsidR="008157C5" w:rsidRDefault="008157C5" w:rsidP="00E74043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Poniżej rekomendacje dla </w:t>
      </w:r>
      <w:r w:rsidR="00BB2BA8">
        <w:rPr>
          <w:rFonts w:ascii="Tahoma" w:hAnsi="Tahoma" w:cs="Tahoma"/>
          <w:sz w:val="20"/>
          <w:szCs w:val="20"/>
        </w:rPr>
        <w:t xml:space="preserve">akcji </w:t>
      </w:r>
      <w:r>
        <w:rPr>
          <w:rFonts w:ascii="Tahoma" w:hAnsi="Tahoma" w:cs="Tahoma"/>
          <w:sz w:val="20"/>
          <w:szCs w:val="20"/>
        </w:rPr>
        <w:t>PKP CARGO z ostatnich tygodni: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1701"/>
        <w:gridCol w:w="2180"/>
        <w:gridCol w:w="2268"/>
      </w:tblGrid>
      <w:tr w:rsidR="008157C5" w:rsidTr="002A46F9">
        <w:trPr>
          <w:trHeight w:val="388"/>
          <w:jc w:val="center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5" w:rsidRDefault="008157C5" w:rsidP="002A46F9">
            <w:pPr>
              <w:spacing w:after="240"/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lastRenderedPageBreak/>
              <w:t>Instytucja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5" w:rsidRDefault="008157C5" w:rsidP="002A46F9">
            <w:pPr>
              <w:spacing w:after="240"/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5" w:rsidRDefault="008157C5" w:rsidP="002A46F9">
            <w:pPr>
              <w:spacing w:after="240"/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Rekomendacja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5" w:rsidRDefault="008157C5" w:rsidP="002A46F9">
            <w:pPr>
              <w:spacing w:after="240"/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Cena docelowa</w:t>
            </w:r>
          </w:p>
        </w:tc>
      </w:tr>
      <w:tr w:rsidR="00BB2BA8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A8" w:rsidRDefault="00BB2BA8" w:rsidP="002A46F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Raiffeisen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A8" w:rsidRDefault="00BB2BA8" w:rsidP="002A46F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2015-03-03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A8" w:rsidRDefault="00BB2BA8" w:rsidP="002A46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Trzymaj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A8" w:rsidRDefault="00BB2BA8" w:rsidP="002A46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C5" w:rsidRDefault="008157C5" w:rsidP="002A46F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DM PKP 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C5" w:rsidRDefault="008157C5" w:rsidP="002A46F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2015-02-12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C5" w:rsidRDefault="008157C5" w:rsidP="002A46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Trzymaj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C5" w:rsidRDefault="00771DF7" w:rsidP="002A46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Societe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2015-02-09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Investors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2015-02-02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Trzymaj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Wood&amp;Company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2015-01-30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107,00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Ipopema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Securities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2015-01-27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109,00</w:t>
            </w:r>
          </w:p>
        </w:tc>
      </w:tr>
      <w:tr w:rsidR="008157C5" w:rsidTr="002A46F9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Espirito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Santo Investment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2015-01-26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7C5" w:rsidRDefault="008157C5" w:rsidP="002A46F9">
            <w:pPr>
              <w:jc w:val="center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98,90</w:t>
            </w:r>
          </w:p>
        </w:tc>
      </w:tr>
    </w:tbl>
    <w:p w:rsidR="008157C5" w:rsidRDefault="008157C5" w:rsidP="00E74043">
      <w:pPr>
        <w:spacing w:after="240"/>
        <w:jc w:val="both"/>
      </w:pPr>
    </w:p>
    <w:p w:rsidR="00FD38E7" w:rsidRPr="00945545" w:rsidRDefault="0048566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Default="001405BD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EA2C7D" w:rsidRPr="00945545" w:rsidRDefault="00EA2C7D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09688D" w:rsidRDefault="00FD38E7" w:rsidP="007C756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>
        <w:rPr>
          <w:rFonts w:ascii="Tahoma" w:hAnsi="Tahoma" w:cs="Tahoma"/>
          <w:sz w:val="16"/>
          <w:szCs w:val="16"/>
        </w:rPr>
        <w:t>ier i Litwy.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oraz PKP CARGOTABOR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</w:t>
      </w:r>
      <w:r w:rsidR="00BB2BA8">
        <w:rPr>
          <w:rFonts w:ascii="Tahoma" w:hAnsi="Tahoma" w:cs="Tahoma"/>
          <w:sz w:val="16"/>
          <w:szCs w:val="16"/>
        </w:rPr>
        <w:t>3</w:t>
      </w:r>
      <w:r w:rsidRPr="00F12BFE">
        <w:rPr>
          <w:rFonts w:ascii="Tahoma" w:hAnsi="Tahoma" w:cs="Tahoma"/>
          <w:sz w:val="16"/>
          <w:szCs w:val="16"/>
        </w:rPr>
        <w:t xml:space="preserve"> mld zł przychodów i </w:t>
      </w:r>
      <w:r w:rsidR="00BB2BA8">
        <w:rPr>
          <w:rFonts w:ascii="Tahoma" w:hAnsi="Tahoma" w:cs="Tahoma"/>
          <w:sz w:val="16"/>
          <w:szCs w:val="16"/>
        </w:rPr>
        <w:t>276</w:t>
      </w:r>
      <w:r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mln zł zysku netto</w:t>
      </w:r>
      <w:r w:rsidR="00BB2BA8">
        <w:rPr>
          <w:rFonts w:ascii="Tahoma" w:hAnsi="Tahoma" w:cs="Tahoma"/>
          <w:sz w:val="16"/>
          <w:szCs w:val="16"/>
        </w:rPr>
        <w:t xml:space="preserve"> (po oczyszczeniu z efektów jednorazowych)</w:t>
      </w:r>
      <w:r w:rsidRPr="00F12BFE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przewożąc 11</w:t>
      </w:r>
      <w:r w:rsidR="00BB2BA8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 mln ton ładunków.</w:t>
      </w:r>
    </w:p>
    <w:p w:rsidR="0009688D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09688D" w:rsidRPr="0001165A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p w:rsidR="00FD38E7" w:rsidRPr="0001165A" w:rsidRDefault="00FD38E7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FD38E7" w:rsidRPr="0001165A" w:rsidSect="00195F7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BD" w:rsidRDefault="001405BD">
      <w:r>
        <w:separator/>
      </w:r>
    </w:p>
  </w:endnote>
  <w:endnote w:type="continuationSeparator" w:id="0">
    <w:p w:rsidR="001405BD" w:rsidRDefault="001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5pt;height:1.6pt" o:ole="" fillcolor="window">
          <v:imagedata r:id="rId1" o:title=""/>
        </v:shape>
        <o:OLEObject Type="Embed" ProgID="CorelDRAW.Graphic.11" ShapeID="_x0000_i1025" DrawAspect="Content" ObjectID="_1487741596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483054D" wp14:editId="716F4152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6F565" wp14:editId="3D910506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BD" w:rsidRDefault="001405BD">
      <w:r>
        <w:separator/>
      </w:r>
    </w:p>
  </w:footnote>
  <w:footnote w:type="continuationSeparator" w:id="0">
    <w:p w:rsidR="001405BD" w:rsidRDefault="0014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429EBA3" wp14:editId="6741A800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>Warszawa,</w:t>
    </w:r>
    <w:r w:rsidR="00D71D4C">
      <w:rPr>
        <w:rFonts w:ascii="Tahoma" w:hAnsi="Tahoma" w:cs="Tahoma"/>
        <w:sz w:val="20"/>
        <w:szCs w:val="20"/>
      </w:rPr>
      <w:t xml:space="preserve"> </w:t>
    </w:r>
    <w:r w:rsidR="00485664">
      <w:rPr>
        <w:rFonts w:ascii="Tahoma" w:hAnsi="Tahoma" w:cs="Tahoma"/>
        <w:sz w:val="20"/>
        <w:szCs w:val="20"/>
      </w:rPr>
      <w:t xml:space="preserve">13 </w:t>
    </w:r>
    <w:r w:rsidR="00E02094">
      <w:rPr>
        <w:rFonts w:ascii="Tahoma" w:hAnsi="Tahoma" w:cs="Tahoma"/>
        <w:sz w:val="20"/>
        <w:szCs w:val="20"/>
      </w:rPr>
      <w:t xml:space="preserve">marca </w:t>
    </w:r>
    <w:r w:rsidR="00027368">
      <w:rPr>
        <w:rFonts w:ascii="Tahoma" w:hAnsi="Tahoma" w:cs="Tahoma"/>
        <w:sz w:val="20"/>
        <w:szCs w:val="20"/>
      </w:rPr>
      <w:t>201</w:t>
    </w:r>
    <w:r w:rsidR="0009688D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15A7"/>
    <w:rsid w:val="00001FE9"/>
    <w:rsid w:val="00003A69"/>
    <w:rsid w:val="00005181"/>
    <w:rsid w:val="00007888"/>
    <w:rsid w:val="0001165A"/>
    <w:rsid w:val="000204B8"/>
    <w:rsid w:val="00027368"/>
    <w:rsid w:val="0003517B"/>
    <w:rsid w:val="00041F62"/>
    <w:rsid w:val="00047E8D"/>
    <w:rsid w:val="000551BF"/>
    <w:rsid w:val="00067391"/>
    <w:rsid w:val="00075349"/>
    <w:rsid w:val="000830EB"/>
    <w:rsid w:val="0008409B"/>
    <w:rsid w:val="000953D3"/>
    <w:rsid w:val="00095F69"/>
    <w:rsid w:val="0009688D"/>
    <w:rsid w:val="000A3C48"/>
    <w:rsid w:val="000A4FCF"/>
    <w:rsid w:val="000C29A1"/>
    <w:rsid w:val="000C7C28"/>
    <w:rsid w:val="000D1024"/>
    <w:rsid w:val="000D7834"/>
    <w:rsid w:val="000E195F"/>
    <w:rsid w:val="000E4BD2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7705"/>
    <w:rsid w:val="001405BD"/>
    <w:rsid w:val="001425EB"/>
    <w:rsid w:val="0014384A"/>
    <w:rsid w:val="00145CA0"/>
    <w:rsid w:val="00152061"/>
    <w:rsid w:val="00155B82"/>
    <w:rsid w:val="00163541"/>
    <w:rsid w:val="001642E3"/>
    <w:rsid w:val="00164762"/>
    <w:rsid w:val="0017251B"/>
    <w:rsid w:val="00175373"/>
    <w:rsid w:val="00181F0D"/>
    <w:rsid w:val="00184C36"/>
    <w:rsid w:val="00186D3D"/>
    <w:rsid w:val="00190FBE"/>
    <w:rsid w:val="00195F77"/>
    <w:rsid w:val="001A1E24"/>
    <w:rsid w:val="001A3FE1"/>
    <w:rsid w:val="001C0FB7"/>
    <w:rsid w:val="001C136B"/>
    <w:rsid w:val="001C2004"/>
    <w:rsid w:val="001C56D4"/>
    <w:rsid w:val="001D576A"/>
    <w:rsid w:val="001D634E"/>
    <w:rsid w:val="001E2145"/>
    <w:rsid w:val="00201CFE"/>
    <w:rsid w:val="002041AD"/>
    <w:rsid w:val="00212DF1"/>
    <w:rsid w:val="0021337B"/>
    <w:rsid w:val="00214ED5"/>
    <w:rsid w:val="00220808"/>
    <w:rsid w:val="00231AA9"/>
    <w:rsid w:val="002370C5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1C6A"/>
    <w:rsid w:val="002B7D21"/>
    <w:rsid w:val="002B7FCF"/>
    <w:rsid w:val="002D1318"/>
    <w:rsid w:val="002E0546"/>
    <w:rsid w:val="002E2D3C"/>
    <w:rsid w:val="002E4FD0"/>
    <w:rsid w:val="002F4A11"/>
    <w:rsid w:val="003029FC"/>
    <w:rsid w:val="00302DD7"/>
    <w:rsid w:val="00314FB9"/>
    <w:rsid w:val="00315DAC"/>
    <w:rsid w:val="00333109"/>
    <w:rsid w:val="0033331D"/>
    <w:rsid w:val="00335D51"/>
    <w:rsid w:val="00336AD7"/>
    <w:rsid w:val="00337AC8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7879"/>
    <w:rsid w:val="003E7379"/>
    <w:rsid w:val="003F0B07"/>
    <w:rsid w:val="003F27AA"/>
    <w:rsid w:val="0040365E"/>
    <w:rsid w:val="004046C6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43DE2"/>
    <w:rsid w:val="0045434F"/>
    <w:rsid w:val="0045656A"/>
    <w:rsid w:val="004613AA"/>
    <w:rsid w:val="004658D8"/>
    <w:rsid w:val="00477783"/>
    <w:rsid w:val="00482E17"/>
    <w:rsid w:val="00484037"/>
    <w:rsid w:val="00485664"/>
    <w:rsid w:val="004A0612"/>
    <w:rsid w:val="004B1587"/>
    <w:rsid w:val="004B515F"/>
    <w:rsid w:val="004C4EA3"/>
    <w:rsid w:val="004D3658"/>
    <w:rsid w:val="004D7575"/>
    <w:rsid w:val="004E6242"/>
    <w:rsid w:val="004E761D"/>
    <w:rsid w:val="00511E50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6EA6"/>
    <w:rsid w:val="005D6428"/>
    <w:rsid w:val="005F4AA4"/>
    <w:rsid w:val="005F5C68"/>
    <w:rsid w:val="005F6DF5"/>
    <w:rsid w:val="00610E61"/>
    <w:rsid w:val="006140E3"/>
    <w:rsid w:val="00620286"/>
    <w:rsid w:val="00622765"/>
    <w:rsid w:val="00636FCE"/>
    <w:rsid w:val="00642915"/>
    <w:rsid w:val="00644F89"/>
    <w:rsid w:val="00647550"/>
    <w:rsid w:val="00654424"/>
    <w:rsid w:val="00656735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0229A"/>
    <w:rsid w:val="00707321"/>
    <w:rsid w:val="00710EB2"/>
    <w:rsid w:val="00717BC3"/>
    <w:rsid w:val="00723508"/>
    <w:rsid w:val="007249DD"/>
    <w:rsid w:val="0073405D"/>
    <w:rsid w:val="0073506A"/>
    <w:rsid w:val="007412E2"/>
    <w:rsid w:val="00751CC4"/>
    <w:rsid w:val="007541C7"/>
    <w:rsid w:val="00770AF6"/>
    <w:rsid w:val="00771389"/>
    <w:rsid w:val="00771DF7"/>
    <w:rsid w:val="0078548B"/>
    <w:rsid w:val="00794CDC"/>
    <w:rsid w:val="007959CD"/>
    <w:rsid w:val="007A31B4"/>
    <w:rsid w:val="007A5B22"/>
    <w:rsid w:val="007B777F"/>
    <w:rsid w:val="007C48BA"/>
    <w:rsid w:val="007C6275"/>
    <w:rsid w:val="007C7567"/>
    <w:rsid w:val="007D24E4"/>
    <w:rsid w:val="007D36E7"/>
    <w:rsid w:val="007E0339"/>
    <w:rsid w:val="007E2223"/>
    <w:rsid w:val="0080138E"/>
    <w:rsid w:val="00803BCC"/>
    <w:rsid w:val="008142F2"/>
    <w:rsid w:val="008157C5"/>
    <w:rsid w:val="00817553"/>
    <w:rsid w:val="00823790"/>
    <w:rsid w:val="008420C1"/>
    <w:rsid w:val="00844F59"/>
    <w:rsid w:val="008464FC"/>
    <w:rsid w:val="00847D69"/>
    <w:rsid w:val="00852E3A"/>
    <w:rsid w:val="008533AB"/>
    <w:rsid w:val="00867480"/>
    <w:rsid w:val="008743C4"/>
    <w:rsid w:val="008754FB"/>
    <w:rsid w:val="008858D8"/>
    <w:rsid w:val="00893BC8"/>
    <w:rsid w:val="00894BA6"/>
    <w:rsid w:val="00896235"/>
    <w:rsid w:val="008A63DD"/>
    <w:rsid w:val="008A7081"/>
    <w:rsid w:val="008B46C2"/>
    <w:rsid w:val="008B5171"/>
    <w:rsid w:val="008C3B80"/>
    <w:rsid w:val="008D7557"/>
    <w:rsid w:val="008F1234"/>
    <w:rsid w:val="008F7DC1"/>
    <w:rsid w:val="009014D5"/>
    <w:rsid w:val="00902C2D"/>
    <w:rsid w:val="009033CE"/>
    <w:rsid w:val="0091468F"/>
    <w:rsid w:val="0091604D"/>
    <w:rsid w:val="00921514"/>
    <w:rsid w:val="00930812"/>
    <w:rsid w:val="00932D73"/>
    <w:rsid w:val="00935384"/>
    <w:rsid w:val="00944605"/>
    <w:rsid w:val="00946D86"/>
    <w:rsid w:val="00947B26"/>
    <w:rsid w:val="009573AA"/>
    <w:rsid w:val="00960CCA"/>
    <w:rsid w:val="00962FB0"/>
    <w:rsid w:val="009650EA"/>
    <w:rsid w:val="009817A6"/>
    <w:rsid w:val="00986721"/>
    <w:rsid w:val="00986EFC"/>
    <w:rsid w:val="00990723"/>
    <w:rsid w:val="00996BFC"/>
    <w:rsid w:val="009A4DE9"/>
    <w:rsid w:val="009A6FD6"/>
    <w:rsid w:val="009D3441"/>
    <w:rsid w:val="009D38A2"/>
    <w:rsid w:val="009E0DE9"/>
    <w:rsid w:val="009E366F"/>
    <w:rsid w:val="009E7EEE"/>
    <w:rsid w:val="009F3C48"/>
    <w:rsid w:val="009F7CD7"/>
    <w:rsid w:val="00A006B5"/>
    <w:rsid w:val="00A0564E"/>
    <w:rsid w:val="00A12BCD"/>
    <w:rsid w:val="00A157CA"/>
    <w:rsid w:val="00A232DD"/>
    <w:rsid w:val="00A32298"/>
    <w:rsid w:val="00A46CAB"/>
    <w:rsid w:val="00A53D62"/>
    <w:rsid w:val="00A643A3"/>
    <w:rsid w:val="00A7738C"/>
    <w:rsid w:val="00A93A52"/>
    <w:rsid w:val="00A9605D"/>
    <w:rsid w:val="00AA15BF"/>
    <w:rsid w:val="00AA2D68"/>
    <w:rsid w:val="00AA766C"/>
    <w:rsid w:val="00AC27CC"/>
    <w:rsid w:val="00AC62A8"/>
    <w:rsid w:val="00AD067D"/>
    <w:rsid w:val="00AD181F"/>
    <w:rsid w:val="00AD58F3"/>
    <w:rsid w:val="00B07C0B"/>
    <w:rsid w:val="00B118B4"/>
    <w:rsid w:val="00B1478E"/>
    <w:rsid w:val="00B24AD1"/>
    <w:rsid w:val="00B320B1"/>
    <w:rsid w:val="00B343CF"/>
    <w:rsid w:val="00B43297"/>
    <w:rsid w:val="00B62DB5"/>
    <w:rsid w:val="00B744C1"/>
    <w:rsid w:val="00B83D0A"/>
    <w:rsid w:val="00B84C6E"/>
    <w:rsid w:val="00B949A7"/>
    <w:rsid w:val="00BA0F01"/>
    <w:rsid w:val="00BB1548"/>
    <w:rsid w:val="00BB15CA"/>
    <w:rsid w:val="00BB2BA8"/>
    <w:rsid w:val="00BC3264"/>
    <w:rsid w:val="00BD508E"/>
    <w:rsid w:val="00BD7248"/>
    <w:rsid w:val="00BF5960"/>
    <w:rsid w:val="00BF6C25"/>
    <w:rsid w:val="00BF724B"/>
    <w:rsid w:val="00C05773"/>
    <w:rsid w:val="00C071B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05430"/>
    <w:rsid w:val="00D1054D"/>
    <w:rsid w:val="00D10653"/>
    <w:rsid w:val="00D14CA1"/>
    <w:rsid w:val="00D20FD2"/>
    <w:rsid w:val="00D22D7D"/>
    <w:rsid w:val="00D23FF9"/>
    <w:rsid w:val="00D33046"/>
    <w:rsid w:val="00D36BBE"/>
    <w:rsid w:val="00D40603"/>
    <w:rsid w:val="00D423FC"/>
    <w:rsid w:val="00D446EB"/>
    <w:rsid w:val="00D47AA8"/>
    <w:rsid w:val="00D50A36"/>
    <w:rsid w:val="00D53EDD"/>
    <w:rsid w:val="00D71D4C"/>
    <w:rsid w:val="00D7397A"/>
    <w:rsid w:val="00D810C4"/>
    <w:rsid w:val="00D81AC2"/>
    <w:rsid w:val="00D962D1"/>
    <w:rsid w:val="00DA708B"/>
    <w:rsid w:val="00DB310D"/>
    <w:rsid w:val="00DB603E"/>
    <w:rsid w:val="00DC023A"/>
    <w:rsid w:val="00DC4E23"/>
    <w:rsid w:val="00DD56C1"/>
    <w:rsid w:val="00DD6985"/>
    <w:rsid w:val="00DE53B3"/>
    <w:rsid w:val="00DE6CAE"/>
    <w:rsid w:val="00DE6D98"/>
    <w:rsid w:val="00E02094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4043"/>
    <w:rsid w:val="00E77963"/>
    <w:rsid w:val="00E96800"/>
    <w:rsid w:val="00EA2C7D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EF68C1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s12">
    <w:name w:val="s12"/>
    <w:basedOn w:val="Normalny"/>
    <w:rsid w:val="00127705"/>
    <w:pPr>
      <w:spacing w:before="100" w:beforeAutospacing="1" w:after="100" w:afterAutospacing="1"/>
    </w:pPr>
    <w:rPr>
      <w:rFonts w:eastAsia="Calibri"/>
    </w:rPr>
  </w:style>
  <w:style w:type="character" w:customStyle="1" w:styleId="bumpedfont20">
    <w:name w:val="bumpedfont20"/>
    <w:rsid w:val="0012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s12">
    <w:name w:val="s12"/>
    <w:basedOn w:val="Normalny"/>
    <w:rsid w:val="00127705"/>
    <w:pPr>
      <w:spacing w:before="100" w:beforeAutospacing="1" w:after="100" w:afterAutospacing="1"/>
    </w:pPr>
    <w:rPr>
      <w:rFonts w:eastAsia="Calibri"/>
    </w:rPr>
  </w:style>
  <w:style w:type="character" w:customStyle="1" w:styleId="bumpedfont20">
    <w:name w:val="bumpedfont20"/>
    <w:rsid w:val="0012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7B6D-D8F6-4C34-8DDB-132EA498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5682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Monika Banyś</cp:lastModifiedBy>
  <cp:revision>5</cp:revision>
  <cp:lastPrinted>2014-03-03T10:32:00Z</cp:lastPrinted>
  <dcterms:created xsi:type="dcterms:W3CDTF">2015-03-13T07:32:00Z</dcterms:created>
  <dcterms:modified xsi:type="dcterms:W3CDTF">2015-03-13T07:47:00Z</dcterms:modified>
</cp:coreProperties>
</file>