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9E6774" w:rsidRPr="00C34367" w:rsidRDefault="00FD38E7" w:rsidP="00C34367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C34367" w:rsidRDefault="00DC3159" w:rsidP="00067A5A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UTK potwierdza dane GUS</w:t>
      </w:r>
      <w:r w:rsidR="004330AA">
        <w:rPr>
          <w:rFonts w:ascii="Tahoma" w:hAnsi="Tahoma" w:cs="Tahoma"/>
          <w:b/>
          <w:bCs/>
        </w:rPr>
        <w:t xml:space="preserve"> –</w:t>
      </w:r>
      <w:r w:rsidR="0023299F">
        <w:rPr>
          <w:rFonts w:ascii="Tahoma" w:hAnsi="Tahoma" w:cs="Tahoma"/>
          <w:b/>
          <w:bCs/>
        </w:rPr>
        <w:t xml:space="preserve"> </w:t>
      </w:r>
      <w:r w:rsidR="00067A5A">
        <w:rPr>
          <w:rFonts w:ascii="Tahoma" w:hAnsi="Tahoma" w:cs="Tahoma"/>
          <w:b/>
          <w:bCs/>
        </w:rPr>
        <w:t xml:space="preserve">lepszy </w:t>
      </w:r>
      <w:r w:rsidR="003F0A46">
        <w:rPr>
          <w:rFonts w:ascii="Tahoma" w:hAnsi="Tahoma" w:cs="Tahoma"/>
          <w:b/>
          <w:bCs/>
        </w:rPr>
        <w:t xml:space="preserve">kwiecień dla PKP CARGO </w:t>
      </w:r>
      <w:r>
        <w:rPr>
          <w:rFonts w:ascii="Tahoma" w:hAnsi="Tahoma" w:cs="Tahoma"/>
          <w:b/>
          <w:bCs/>
        </w:rPr>
        <w:br/>
      </w:r>
      <w:r w:rsidR="003F0A46">
        <w:rPr>
          <w:rFonts w:ascii="Tahoma" w:hAnsi="Tahoma" w:cs="Tahoma"/>
          <w:b/>
          <w:bCs/>
        </w:rPr>
        <w:t>na słabym rynku</w:t>
      </w:r>
    </w:p>
    <w:p w:rsidR="00C34367" w:rsidRDefault="00C34367" w:rsidP="00C34367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Według danych </w:t>
      </w:r>
      <w:r w:rsidR="00DC3159">
        <w:rPr>
          <w:rFonts w:ascii="Tahoma" w:hAnsi="Tahoma" w:cs="Tahoma"/>
          <w:b/>
          <w:bCs/>
          <w:sz w:val="20"/>
          <w:szCs w:val="20"/>
        </w:rPr>
        <w:t>Urzędu Transportu Kolejowego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w kwietniu 2015 </w:t>
      </w:r>
      <w:r w:rsidR="00DC3159">
        <w:rPr>
          <w:rFonts w:ascii="Tahoma" w:hAnsi="Tahoma" w:cs="Tahoma"/>
          <w:b/>
          <w:bCs/>
          <w:sz w:val="20"/>
          <w:szCs w:val="20"/>
        </w:rPr>
        <w:t>roku Grupa PKP CARGO miała 55,8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proc. udziału w rynku pod wz</w:t>
      </w:r>
      <w:r w:rsidR="00DC3159">
        <w:rPr>
          <w:rFonts w:ascii="Tahoma" w:hAnsi="Tahoma" w:cs="Tahoma"/>
          <w:b/>
          <w:bCs/>
          <w:sz w:val="20"/>
          <w:szCs w:val="20"/>
        </w:rPr>
        <w:t>ględem pracy przewozowej i 47,7</w:t>
      </w:r>
      <w:r w:rsidR="004330AA">
        <w:rPr>
          <w:rFonts w:ascii="Tahoma" w:hAnsi="Tahoma" w:cs="Tahoma"/>
          <w:b/>
          <w:bCs/>
          <w:sz w:val="20"/>
          <w:szCs w:val="20"/>
        </w:rPr>
        <w:t> proc. pod względem masy. W ujęciu rocznym ozna</w:t>
      </w:r>
      <w:r w:rsidR="00DC3159">
        <w:rPr>
          <w:rFonts w:ascii="Tahoma" w:hAnsi="Tahoma" w:cs="Tahoma"/>
          <w:b/>
          <w:bCs/>
          <w:sz w:val="20"/>
          <w:szCs w:val="20"/>
        </w:rPr>
        <w:t>cza to wzrost o odpowiednio 0,1 i 1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pkt proc. Narastająco po czterech miesiącach udział </w:t>
      </w:r>
      <w:r w:rsidR="00067A5A">
        <w:rPr>
          <w:rFonts w:ascii="Tahoma" w:hAnsi="Tahoma" w:cs="Tahoma"/>
          <w:b/>
          <w:bCs/>
          <w:sz w:val="20"/>
          <w:szCs w:val="20"/>
        </w:rPr>
        <w:t xml:space="preserve">Grupy PKP CARGO </w:t>
      </w:r>
      <w:r w:rsidR="00DC3159">
        <w:rPr>
          <w:rFonts w:ascii="Tahoma" w:hAnsi="Tahoma" w:cs="Tahoma"/>
          <w:b/>
          <w:bCs/>
          <w:sz w:val="20"/>
          <w:szCs w:val="20"/>
        </w:rPr>
        <w:t>pod względem masy wyniósł 47,8 proc. (wzrost o 0,7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9080D">
        <w:rPr>
          <w:rFonts w:ascii="Tahoma" w:hAnsi="Tahoma" w:cs="Tahoma"/>
          <w:b/>
          <w:bCs/>
          <w:sz w:val="20"/>
          <w:szCs w:val="20"/>
        </w:rPr>
        <w:t xml:space="preserve">pkt </w:t>
      </w:r>
      <w:r w:rsidR="004330AA">
        <w:rPr>
          <w:rFonts w:ascii="Tahoma" w:hAnsi="Tahoma" w:cs="Tahoma"/>
          <w:b/>
          <w:bCs/>
          <w:sz w:val="20"/>
          <w:szCs w:val="20"/>
        </w:rPr>
        <w:t>proc.</w:t>
      </w:r>
      <w:r w:rsidR="00067A5A" w:rsidRPr="00067A5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67A5A">
        <w:rPr>
          <w:rFonts w:ascii="Tahoma" w:hAnsi="Tahoma" w:cs="Tahoma"/>
          <w:b/>
          <w:bCs/>
          <w:sz w:val="20"/>
          <w:szCs w:val="20"/>
        </w:rPr>
        <w:t>rdr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), a pod </w:t>
      </w:r>
      <w:r w:rsidR="00DC3159">
        <w:rPr>
          <w:rFonts w:ascii="Tahoma" w:hAnsi="Tahoma" w:cs="Tahoma"/>
          <w:b/>
          <w:bCs/>
          <w:sz w:val="20"/>
          <w:szCs w:val="20"/>
        </w:rPr>
        <w:t>względem pracy przewozowej 55,9 proc. (spadek o 1,2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9080D">
        <w:rPr>
          <w:rFonts w:ascii="Tahoma" w:hAnsi="Tahoma" w:cs="Tahoma"/>
          <w:b/>
          <w:bCs/>
          <w:sz w:val="20"/>
          <w:szCs w:val="20"/>
        </w:rPr>
        <w:t xml:space="preserve">pkt 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proc. rdr). </w:t>
      </w:r>
    </w:p>
    <w:p w:rsidR="00067A5A" w:rsidRDefault="004330AA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Kwiecień był czwartym miesiącem z rzędu, w którym masa towarowa przewieziona</w:t>
      </w:r>
      <w:r w:rsidR="00067A5A">
        <w:rPr>
          <w:rFonts w:ascii="Tahoma" w:hAnsi="Tahoma" w:cs="Tahoma"/>
          <w:sz w:val="20"/>
          <w:szCs w:val="20"/>
        </w:rPr>
        <w:t xml:space="preserve"> koleją w Polsce była mniejsza</w:t>
      </w:r>
      <w:r w:rsidR="00232312">
        <w:rPr>
          <w:rFonts w:ascii="Tahoma" w:hAnsi="Tahoma" w:cs="Tahoma"/>
          <w:sz w:val="20"/>
          <w:szCs w:val="20"/>
        </w:rPr>
        <w:t>,</w:t>
      </w:r>
      <w:r w:rsidR="00067A5A">
        <w:rPr>
          <w:rFonts w:ascii="Tahoma" w:hAnsi="Tahoma" w:cs="Tahoma"/>
          <w:sz w:val="20"/>
          <w:szCs w:val="20"/>
        </w:rPr>
        <w:t xml:space="preserve"> niż w ubiegłym roku. Łączne przewozy wyniosły w tym</w:t>
      </w:r>
      <w:r w:rsidR="00DC3159">
        <w:rPr>
          <w:rFonts w:ascii="Tahoma" w:hAnsi="Tahoma" w:cs="Tahoma"/>
          <w:sz w:val="20"/>
          <w:szCs w:val="20"/>
        </w:rPr>
        <w:t xml:space="preserve"> miesiącu </w:t>
      </w:r>
      <w:r w:rsidR="00517A6A">
        <w:rPr>
          <w:rFonts w:ascii="Tahoma" w:hAnsi="Tahoma" w:cs="Tahoma"/>
          <w:sz w:val="20"/>
          <w:szCs w:val="20"/>
        </w:rPr>
        <w:t>18,14</w:t>
      </w:r>
      <w:bookmarkStart w:id="0" w:name="_GoBack"/>
      <w:bookmarkEnd w:id="0"/>
      <w:r w:rsidR="00DC3159">
        <w:rPr>
          <w:rFonts w:ascii="Tahoma" w:hAnsi="Tahoma" w:cs="Tahoma"/>
          <w:sz w:val="20"/>
          <w:szCs w:val="20"/>
        </w:rPr>
        <w:t xml:space="preserve"> mln ton, o 0,38</w:t>
      </w:r>
      <w:r w:rsidR="00C2774E">
        <w:rPr>
          <w:rFonts w:ascii="Tahoma" w:hAnsi="Tahoma" w:cs="Tahoma"/>
          <w:sz w:val="20"/>
          <w:szCs w:val="20"/>
        </w:rPr>
        <w:t> </w:t>
      </w:r>
      <w:r w:rsidR="00DC3159">
        <w:rPr>
          <w:rFonts w:ascii="Tahoma" w:hAnsi="Tahoma" w:cs="Tahoma"/>
          <w:sz w:val="20"/>
          <w:szCs w:val="20"/>
        </w:rPr>
        <w:t>mln ton mniej, niż rok temu (-2,1</w:t>
      </w:r>
      <w:r w:rsidR="00067A5A">
        <w:rPr>
          <w:rFonts w:ascii="Tahoma" w:hAnsi="Tahoma" w:cs="Tahoma"/>
          <w:sz w:val="20"/>
          <w:szCs w:val="20"/>
        </w:rPr>
        <w:t xml:space="preserve"> proc.). W tym okresie Grupa PKP CARGO zdołała nieznacznie poprawić przewozy sprzed roku</w:t>
      </w:r>
      <w:r w:rsidR="0089080D">
        <w:rPr>
          <w:rFonts w:ascii="Tahoma" w:hAnsi="Tahoma" w:cs="Tahoma"/>
          <w:sz w:val="20"/>
          <w:szCs w:val="20"/>
        </w:rPr>
        <w:t>,</w:t>
      </w:r>
      <w:r w:rsidR="00C2774E">
        <w:rPr>
          <w:rFonts w:ascii="Tahoma" w:hAnsi="Tahoma" w:cs="Tahoma"/>
          <w:sz w:val="20"/>
          <w:szCs w:val="20"/>
        </w:rPr>
        <w:t xml:space="preserve"> o 3 tys. ton, przewożąc 8,65</w:t>
      </w:r>
      <w:r w:rsidR="00735681">
        <w:rPr>
          <w:rFonts w:ascii="Tahoma" w:hAnsi="Tahoma" w:cs="Tahoma"/>
          <w:sz w:val="20"/>
          <w:szCs w:val="20"/>
        </w:rPr>
        <w:t xml:space="preserve"> mln ton.</w:t>
      </w:r>
    </w:p>
    <w:p w:rsidR="006246B3" w:rsidRDefault="00067A5A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Zmalała też praca przewozowa – w kwietniu przewoźnicy kolej</w:t>
      </w:r>
      <w:r w:rsidR="00F334D1">
        <w:rPr>
          <w:rFonts w:ascii="Tahoma" w:hAnsi="Tahoma" w:cs="Tahoma"/>
          <w:sz w:val="20"/>
          <w:szCs w:val="20"/>
        </w:rPr>
        <w:t>owi w Polsce wykonali łącznie 4,056 mld tkm, o 0,122 mld tkm mniej, niż rok temu (-2,9</w:t>
      </w:r>
      <w:r>
        <w:rPr>
          <w:rFonts w:ascii="Tahoma" w:hAnsi="Tahoma" w:cs="Tahoma"/>
          <w:sz w:val="20"/>
          <w:szCs w:val="20"/>
        </w:rPr>
        <w:t xml:space="preserve"> proc.). W 2015 roku w </w:t>
      </w:r>
      <w:r w:rsidR="00F334D1">
        <w:rPr>
          <w:rFonts w:ascii="Tahoma" w:hAnsi="Tahoma" w:cs="Tahoma"/>
          <w:sz w:val="20"/>
          <w:szCs w:val="20"/>
        </w:rPr>
        <w:t xml:space="preserve">lutym i </w:t>
      </w:r>
      <w:r>
        <w:rPr>
          <w:rFonts w:ascii="Tahoma" w:hAnsi="Tahoma" w:cs="Tahoma"/>
          <w:sz w:val="20"/>
          <w:szCs w:val="20"/>
        </w:rPr>
        <w:t>marcu zanotowano wzrost rynku w ujęciu pracy przewozowej</w:t>
      </w:r>
      <w:r w:rsidR="001268D1">
        <w:rPr>
          <w:rFonts w:ascii="Tahoma" w:hAnsi="Tahoma" w:cs="Tahoma"/>
          <w:sz w:val="20"/>
          <w:szCs w:val="20"/>
        </w:rPr>
        <w:t xml:space="preserve"> rok do roku</w:t>
      </w:r>
      <w:r w:rsidR="00F334D1">
        <w:rPr>
          <w:rFonts w:ascii="Tahoma" w:hAnsi="Tahoma" w:cs="Tahoma"/>
          <w:sz w:val="20"/>
          <w:szCs w:val="20"/>
        </w:rPr>
        <w:t xml:space="preserve">, podczas gdy w styczniu i kwietniu </w:t>
      </w:r>
      <w:r>
        <w:rPr>
          <w:rFonts w:ascii="Tahoma" w:hAnsi="Tahoma" w:cs="Tahoma"/>
          <w:sz w:val="20"/>
          <w:szCs w:val="20"/>
        </w:rPr>
        <w:t>rynek zakończył na minusie.</w:t>
      </w:r>
      <w:r w:rsidR="00735681">
        <w:rPr>
          <w:rFonts w:ascii="Tahoma" w:hAnsi="Tahoma" w:cs="Tahoma"/>
          <w:sz w:val="20"/>
          <w:szCs w:val="20"/>
        </w:rPr>
        <w:t xml:space="preserve"> W kwietniu praca przewozowa </w:t>
      </w:r>
      <w:r w:rsidR="00160FD1">
        <w:rPr>
          <w:rFonts w:ascii="Tahoma" w:hAnsi="Tahoma" w:cs="Tahoma"/>
          <w:sz w:val="20"/>
          <w:szCs w:val="20"/>
        </w:rPr>
        <w:t>Grupy PKP CARGO wyniosła 2</w:t>
      </w:r>
      <w:r w:rsidR="001268D1">
        <w:rPr>
          <w:rFonts w:ascii="Tahoma" w:hAnsi="Tahoma" w:cs="Tahoma"/>
          <w:sz w:val="20"/>
          <w:szCs w:val="20"/>
        </w:rPr>
        <w:t>,26</w:t>
      </w:r>
      <w:r w:rsidR="00735681">
        <w:rPr>
          <w:rFonts w:ascii="Tahoma" w:hAnsi="Tahoma" w:cs="Tahoma"/>
          <w:sz w:val="20"/>
          <w:szCs w:val="20"/>
        </w:rPr>
        <w:t xml:space="preserve"> mld tkm.</w:t>
      </w:r>
    </w:p>
    <w:p w:rsidR="00D21CFF" w:rsidRPr="00D21CFF" w:rsidRDefault="00D21CFF" w:rsidP="00D21CFF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D21CFF">
        <w:rPr>
          <w:rFonts w:ascii="Tahoma" w:hAnsi="Tahoma" w:cs="Tahoma"/>
          <w:sz w:val="20"/>
          <w:szCs w:val="20"/>
        </w:rPr>
        <w:t xml:space="preserve">Po </w:t>
      </w:r>
      <w:r>
        <w:rPr>
          <w:rFonts w:ascii="Tahoma" w:hAnsi="Tahoma" w:cs="Tahoma"/>
          <w:sz w:val="20"/>
          <w:szCs w:val="20"/>
        </w:rPr>
        <w:t>czterech</w:t>
      </w:r>
      <w:r w:rsidRPr="00D21CFF">
        <w:rPr>
          <w:rFonts w:ascii="Tahoma" w:hAnsi="Tahoma" w:cs="Tahoma"/>
          <w:sz w:val="20"/>
          <w:szCs w:val="20"/>
        </w:rPr>
        <w:t xml:space="preserve"> miesiącach 2015 roku na kolejnych miejscach pod względem przewiezionej masy znalazły się: DB Schenk</w:t>
      </w:r>
      <w:r>
        <w:rPr>
          <w:rFonts w:ascii="Tahoma" w:hAnsi="Tahoma" w:cs="Tahoma"/>
          <w:sz w:val="20"/>
          <w:szCs w:val="20"/>
        </w:rPr>
        <w:t>er Rail Polska (17,6</w:t>
      </w:r>
      <w:r w:rsidR="00755CD1">
        <w:rPr>
          <w:rFonts w:ascii="Tahoma" w:hAnsi="Tahoma" w:cs="Tahoma"/>
          <w:sz w:val="20"/>
          <w:szCs w:val="20"/>
        </w:rPr>
        <w:t>%, spadek z 19,1</w:t>
      </w:r>
      <w:r w:rsidRPr="00D21CFF">
        <w:rPr>
          <w:rFonts w:ascii="Tahoma" w:hAnsi="Tahoma" w:cs="Tahoma"/>
          <w:sz w:val="20"/>
          <w:szCs w:val="20"/>
        </w:rPr>
        <w:t xml:space="preserve">% </w:t>
      </w:r>
      <w:r>
        <w:rPr>
          <w:rFonts w:ascii="Tahoma" w:hAnsi="Tahoma" w:cs="Tahoma"/>
          <w:sz w:val="20"/>
          <w:szCs w:val="20"/>
        </w:rPr>
        <w:t>przed rokiem), Lotos Kolej (5,7</w:t>
      </w:r>
      <w:r w:rsidRPr="00D21CFF">
        <w:rPr>
          <w:rFonts w:ascii="Tahoma" w:hAnsi="Tahoma" w:cs="Tahoma"/>
          <w:sz w:val="20"/>
          <w:szCs w:val="20"/>
        </w:rPr>
        <w:t>%</w:t>
      </w:r>
      <w:r w:rsidR="00755CD1">
        <w:rPr>
          <w:rFonts w:ascii="Tahoma" w:hAnsi="Tahoma" w:cs="Tahoma"/>
          <w:sz w:val="20"/>
          <w:szCs w:val="20"/>
        </w:rPr>
        <w:t>, wzrost z 4,3</w:t>
      </w:r>
      <w:r>
        <w:rPr>
          <w:rFonts w:ascii="Tahoma" w:hAnsi="Tahoma" w:cs="Tahoma"/>
          <w:sz w:val="20"/>
          <w:szCs w:val="20"/>
        </w:rPr>
        <w:t>%), PKP LHS (4,4</w:t>
      </w:r>
      <w:r w:rsidR="00755CD1">
        <w:rPr>
          <w:rFonts w:ascii="Tahoma" w:hAnsi="Tahoma" w:cs="Tahoma"/>
          <w:sz w:val="20"/>
          <w:szCs w:val="20"/>
        </w:rPr>
        <w:t>%, spadek z 4,</w:t>
      </w:r>
      <w:r w:rsidRPr="00D21CFF">
        <w:rPr>
          <w:rFonts w:ascii="Tahoma" w:hAnsi="Tahoma" w:cs="Tahoma"/>
          <w:sz w:val="20"/>
          <w:szCs w:val="20"/>
        </w:rPr>
        <w:t xml:space="preserve">9% przed </w:t>
      </w:r>
      <w:r>
        <w:rPr>
          <w:rFonts w:ascii="Tahoma" w:hAnsi="Tahoma" w:cs="Tahoma"/>
          <w:sz w:val="20"/>
          <w:szCs w:val="20"/>
        </w:rPr>
        <w:t>rokiem) oraz CTL Logistics (3,3</w:t>
      </w:r>
      <w:r w:rsidR="00755CD1">
        <w:rPr>
          <w:rFonts w:ascii="Tahoma" w:hAnsi="Tahoma" w:cs="Tahoma"/>
          <w:sz w:val="20"/>
          <w:szCs w:val="20"/>
        </w:rPr>
        <w:t>%, wzrost z 3,2</w:t>
      </w:r>
      <w:r w:rsidRPr="00D21CFF">
        <w:rPr>
          <w:rFonts w:ascii="Tahoma" w:hAnsi="Tahoma" w:cs="Tahoma"/>
          <w:sz w:val="20"/>
          <w:szCs w:val="20"/>
        </w:rPr>
        <w:t>%).</w:t>
      </w:r>
    </w:p>
    <w:p w:rsidR="00D21CFF" w:rsidRPr="00D21CFF" w:rsidRDefault="00D21CFF" w:rsidP="00D21CFF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D21CFF">
        <w:rPr>
          <w:rFonts w:ascii="Tahoma" w:hAnsi="Tahoma" w:cs="Tahoma"/>
          <w:sz w:val="20"/>
          <w:szCs w:val="20"/>
        </w:rPr>
        <w:t>Pod względem pracy przewozowej wiceliderem rynku jest sp</w:t>
      </w:r>
      <w:r>
        <w:rPr>
          <w:rFonts w:ascii="Tahoma" w:hAnsi="Tahoma" w:cs="Tahoma"/>
          <w:sz w:val="20"/>
          <w:szCs w:val="20"/>
        </w:rPr>
        <w:t>ółka Lotos Kolej z udziałem 10</w:t>
      </w:r>
      <w:r w:rsidR="00755CD1">
        <w:rPr>
          <w:rFonts w:ascii="Tahoma" w:hAnsi="Tahoma" w:cs="Tahoma"/>
          <w:sz w:val="20"/>
          <w:szCs w:val="20"/>
        </w:rPr>
        <w:t>% (przed rokiem 8,4</w:t>
      </w:r>
      <w:r w:rsidRPr="00D21CFF">
        <w:rPr>
          <w:rFonts w:ascii="Tahoma" w:hAnsi="Tahoma" w:cs="Tahoma"/>
          <w:sz w:val="20"/>
          <w:szCs w:val="20"/>
        </w:rPr>
        <w:t>%), na trzecim mie</w:t>
      </w:r>
      <w:r w:rsidR="00755CD1">
        <w:rPr>
          <w:rFonts w:ascii="Tahoma" w:hAnsi="Tahoma" w:cs="Tahoma"/>
          <w:sz w:val="20"/>
          <w:szCs w:val="20"/>
        </w:rPr>
        <w:t>jscu uplasował się PKP LHS (6,8% w porównaniu do 7,4</w:t>
      </w:r>
      <w:r w:rsidRPr="00D21CFF">
        <w:rPr>
          <w:rFonts w:ascii="Tahoma" w:hAnsi="Tahoma" w:cs="Tahoma"/>
          <w:sz w:val="20"/>
          <w:szCs w:val="20"/>
        </w:rPr>
        <w:t>% przed rokiem), na kolejnym DB Sche</w:t>
      </w:r>
      <w:r w:rsidR="00755CD1">
        <w:rPr>
          <w:rFonts w:ascii="Tahoma" w:hAnsi="Tahoma" w:cs="Tahoma"/>
          <w:sz w:val="20"/>
          <w:szCs w:val="20"/>
        </w:rPr>
        <w:t>nker Rail Polska z udziałem 5,3% (5,6</w:t>
      </w:r>
      <w:r w:rsidRPr="00D21CFF">
        <w:rPr>
          <w:rFonts w:ascii="Tahoma" w:hAnsi="Tahoma" w:cs="Tahoma"/>
          <w:sz w:val="20"/>
          <w:szCs w:val="20"/>
        </w:rPr>
        <w:t>% przed rokiem) o</w:t>
      </w:r>
      <w:r w:rsidR="00755CD1">
        <w:rPr>
          <w:rFonts w:ascii="Tahoma" w:hAnsi="Tahoma" w:cs="Tahoma"/>
          <w:sz w:val="20"/>
          <w:szCs w:val="20"/>
        </w:rPr>
        <w:t>raz CTL Logistics z udziałem 4,7</w:t>
      </w:r>
      <w:r w:rsidRPr="00D21CFF">
        <w:rPr>
          <w:rFonts w:ascii="Tahoma" w:hAnsi="Tahoma" w:cs="Tahoma"/>
          <w:sz w:val="20"/>
          <w:szCs w:val="20"/>
        </w:rPr>
        <w:t>% (5,1% przed rokiem).</w:t>
      </w:r>
    </w:p>
    <w:p w:rsidR="00D21CFF" w:rsidRDefault="00D21CFF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D21CFF">
        <w:rPr>
          <w:rFonts w:ascii="Tahoma" w:hAnsi="Tahoma" w:cs="Tahoma"/>
          <w:sz w:val="20"/>
          <w:szCs w:val="20"/>
        </w:rPr>
        <w:t>Zgodnie z danymi UTK, na rynku przewozów towarowych w 2015 rok</w:t>
      </w:r>
      <w:r w:rsidR="00755CD1">
        <w:rPr>
          <w:rFonts w:ascii="Tahoma" w:hAnsi="Tahoma" w:cs="Tahoma"/>
          <w:sz w:val="20"/>
          <w:szCs w:val="20"/>
        </w:rPr>
        <w:t>u przewozy towarowe realizuje 63</w:t>
      </w:r>
      <w:r w:rsidRPr="00D21CFF">
        <w:rPr>
          <w:rFonts w:ascii="Tahoma" w:hAnsi="Tahoma" w:cs="Tahoma"/>
          <w:sz w:val="20"/>
          <w:szCs w:val="20"/>
        </w:rPr>
        <w:t xml:space="preserve"> przewoźników.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  <w:r w:rsidR="009E6774">
        <w:rPr>
          <w:rFonts w:ascii="Tahoma" w:eastAsia="Calibri" w:hAnsi="Tahoma" w:cs="Tahoma"/>
          <w:b/>
          <w:lang w:eastAsia="en-US"/>
        </w:rPr>
        <w:tab/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DD56E9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wchodzą spółki zależne, m.in. Cargosped (odpowiedzi</w:t>
      </w:r>
      <w:r w:rsidR="006246B3">
        <w:rPr>
          <w:rFonts w:ascii="Tahoma" w:hAnsi="Tahoma" w:cs="Tahoma"/>
          <w:sz w:val="16"/>
          <w:szCs w:val="16"/>
        </w:rPr>
        <w:t xml:space="preserve">alna za przewozy intermodalne), </w:t>
      </w:r>
      <w:r w:rsidRPr="00210346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lastRenderedPageBreak/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E9" w:rsidRDefault="00DD56E9">
      <w:r>
        <w:separator/>
      </w:r>
    </w:p>
  </w:endnote>
  <w:endnote w:type="continuationSeparator" w:id="0">
    <w:p w:rsidR="00DD56E9" w:rsidRDefault="00DD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2.05pt" o:ole="" fillcolor="window">
          <v:imagedata r:id="rId1" o:title=""/>
        </v:shape>
        <o:OLEObject Type="Embed" ProgID="CorelDRAW.Graphic.11" ShapeID="_x0000_i1025" DrawAspect="Content" ObjectID="_1494673994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D917DA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D917D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E9" w:rsidRDefault="00DD56E9">
      <w:r>
        <w:separator/>
      </w:r>
    </w:p>
  </w:footnote>
  <w:footnote w:type="continuationSeparator" w:id="0">
    <w:p w:rsidR="00DD56E9" w:rsidRDefault="00DD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D" w:rsidRDefault="009E38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D" w:rsidRDefault="009E38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9E38BD">
      <w:rPr>
        <w:rFonts w:ascii="Tahoma" w:hAnsi="Tahoma" w:cs="Tahoma"/>
        <w:sz w:val="20"/>
        <w:szCs w:val="20"/>
      </w:rPr>
      <w:t>1</w:t>
    </w:r>
    <w:r w:rsidR="00AB0734">
      <w:rPr>
        <w:rFonts w:ascii="Tahoma" w:hAnsi="Tahoma" w:cs="Tahoma"/>
        <w:sz w:val="20"/>
        <w:szCs w:val="20"/>
      </w:rPr>
      <w:t xml:space="preserve"> </w:t>
    </w:r>
    <w:r w:rsidR="009E38BD">
      <w:rPr>
        <w:rFonts w:ascii="Tahoma" w:hAnsi="Tahoma" w:cs="Tahoma"/>
        <w:sz w:val="20"/>
        <w:szCs w:val="20"/>
      </w:rPr>
      <w:t xml:space="preserve">czerwca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0141"/>
    <w:rsid w:val="00041F62"/>
    <w:rsid w:val="000551BF"/>
    <w:rsid w:val="00067055"/>
    <w:rsid w:val="00067A5A"/>
    <w:rsid w:val="0008409B"/>
    <w:rsid w:val="000953D3"/>
    <w:rsid w:val="00095F69"/>
    <w:rsid w:val="000A280D"/>
    <w:rsid w:val="000A3C48"/>
    <w:rsid w:val="000B79FB"/>
    <w:rsid w:val="000C29A1"/>
    <w:rsid w:val="000C7C28"/>
    <w:rsid w:val="000D1024"/>
    <w:rsid w:val="000D7834"/>
    <w:rsid w:val="000E195F"/>
    <w:rsid w:val="000E5595"/>
    <w:rsid w:val="000E67A7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8D1"/>
    <w:rsid w:val="001363CF"/>
    <w:rsid w:val="001425EB"/>
    <w:rsid w:val="00145CA0"/>
    <w:rsid w:val="00152061"/>
    <w:rsid w:val="00155B82"/>
    <w:rsid w:val="00160FD1"/>
    <w:rsid w:val="001642E3"/>
    <w:rsid w:val="00173356"/>
    <w:rsid w:val="00177977"/>
    <w:rsid w:val="00181F0D"/>
    <w:rsid w:val="00186D3D"/>
    <w:rsid w:val="00190FBE"/>
    <w:rsid w:val="001A3FE1"/>
    <w:rsid w:val="001B4319"/>
    <w:rsid w:val="001B73D0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32312"/>
    <w:rsid w:val="0023299F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5D22"/>
    <w:rsid w:val="002B7D21"/>
    <w:rsid w:val="002B7FCF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A60"/>
    <w:rsid w:val="003752C3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0A46"/>
    <w:rsid w:val="003F27AA"/>
    <w:rsid w:val="004024DF"/>
    <w:rsid w:val="0040365E"/>
    <w:rsid w:val="004044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30AA"/>
    <w:rsid w:val="004358A6"/>
    <w:rsid w:val="0045434F"/>
    <w:rsid w:val="0045656A"/>
    <w:rsid w:val="004613AA"/>
    <w:rsid w:val="00463FE2"/>
    <w:rsid w:val="004658D8"/>
    <w:rsid w:val="00472FBA"/>
    <w:rsid w:val="00477783"/>
    <w:rsid w:val="00482E17"/>
    <w:rsid w:val="00484037"/>
    <w:rsid w:val="004B515F"/>
    <w:rsid w:val="004C21D5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17A6A"/>
    <w:rsid w:val="00520624"/>
    <w:rsid w:val="00522C99"/>
    <w:rsid w:val="00524455"/>
    <w:rsid w:val="0053512D"/>
    <w:rsid w:val="00540CE3"/>
    <w:rsid w:val="00543C1E"/>
    <w:rsid w:val="00546B53"/>
    <w:rsid w:val="00551CD8"/>
    <w:rsid w:val="005644E3"/>
    <w:rsid w:val="00565BB8"/>
    <w:rsid w:val="005747F6"/>
    <w:rsid w:val="0058380E"/>
    <w:rsid w:val="00595E64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246B3"/>
    <w:rsid w:val="00636FCE"/>
    <w:rsid w:val="00642915"/>
    <w:rsid w:val="00644F89"/>
    <w:rsid w:val="00654424"/>
    <w:rsid w:val="00661DDC"/>
    <w:rsid w:val="00663C12"/>
    <w:rsid w:val="00673C47"/>
    <w:rsid w:val="00681986"/>
    <w:rsid w:val="00686043"/>
    <w:rsid w:val="00686E73"/>
    <w:rsid w:val="00686FDF"/>
    <w:rsid w:val="006979C9"/>
    <w:rsid w:val="006A265E"/>
    <w:rsid w:val="006B27DE"/>
    <w:rsid w:val="006B3B1A"/>
    <w:rsid w:val="006B43EE"/>
    <w:rsid w:val="006C5E4A"/>
    <w:rsid w:val="006C6336"/>
    <w:rsid w:val="006D0A4C"/>
    <w:rsid w:val="006D4149"/>
    <w:rsid w:val="006E2161"/>
    <w:rsid w:val="006E2AD5"/>
    <w:rsid w:val="006E5997"/>
    <w:rsid w:val="00700B32"/>
    <w:rsid w:val="00701B5E"/>
    <w:rsid w:val="007067B7"/>
    <w:rsid w:val="00710EB2"/>
    <w:rsid w:val="00717BC3"/>
    <w:rsid w:val="0072550C"/>
    <w:rsid w:val="0073405D"/>
    <w:rsid w:val="0073506A"/>
    <w:rsid w:val="00735681"/>
    <w:rsid w:val="007412E2"/>
    <w:rsid w:val="00746F84"/>
    <w:rsid w:val="00751CC4"/>
    <w:rsid w:val="007541C7"/>
    <w:rsid w:val="00755CD1"/>
    <w:rsid w:val="00756ECB"/>
    <w:rsid w:val="00770AF6"/>
    <w:rsid w:val="00771389"/>
    <w:rsid w:val="0078548B"/>
    <w:rsid w:val="00792F60"/>
    <w:rsid w:val="00794CDC"/>
    <w:rsid w:val="007959CD"/>
    <w:rsid w:val="007A31B4"/>
    <w:rsid w:val="007A5B22"/>
    <w:rsid w:val="007B777F"/>
    <w:rsid w:val="007C48BA"/>
    <w:rsid w:val="007C7EAC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9080D"/>
    <w:rsid w:val="00893BC8"/>
    <w:rsid w:val="00894BA6"/>
    <w:rsid w:val="00896235"/>
    <w:rsid w:val="008A63DD"/>
    <w:rsid w:val="008A7081"/>
    <w:rsid w:val="008B46C2"/>
    <w:rsid w:val="008C3B80"/>
    <w:rsid w:val="008D3F55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C289E"/>
    <w:rsid w:val="009C652E"/>
    <w:rsid w:val="009D3441"/>
    <w:rsid w:val="009E366F"/>
    <w:rsid w:val="009E38BD"/>
    <w:rsid w:val="009E6774"/>
    <w:rsid w:val="009F3C48"/>
    <w:rsid w:val="009F7CD7"/>
    <w:rsid w:val="00A006B5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B0734"/>
    <w:rsid w:val="00AC684D"/>
    <w:rsid w:val="00AD067D"/>
    <w:rsid w:val="00AD181F"/>
    <w:rsid w:val="00AD58F3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83D0A"/>
    <w:rsid w:val="00B84C6E"/>
    <w:rsid w:val="00BA0F01"/>
    <w:rsid w:val="00BB004C"/>
    <w:rsid w:val="00BB1548"/>
    <w:rsid w:val="00BB15CA"/>
    <w:rsid w:val="00BB7F5C"/>
    <w:rsid w:val="00BD508E"/>
    <w:rsid w:val="00BD7248"/>
    <w:rsid w:val="00BF5960"/>
    <w:rsid w:val="00C05773"/>
    <w:rsid w:val="00C071B8"/>
    <w:rsid w:val="00C16D8B"/>
    <w:rsid w:val="00C2774E"/>
    <w:rsid w:val="00C27A99"/>
    <w:rsid w:val="00C27E68"/>
    <w:rsid w:val="00C34367"/>
    <w:rsid w:val="00C3499C"/>
    <w:rsid w:val="00C50B62"/>
    <w:rsid w:val="00C52258"/>
    <w:rsid w:val="00C57CAF"/>
    <w:rsid w:val="00C8796F"/>
    <w:rsid w:val="00C94F57"/>
    <w:rsid w:val="00CA1B09"/>
    <w:rsid w:val="00CA1C2D"/>
    <w:rsid w:val="00CA5FFC"/>
    <w:rsid w:val="00CA7F10"/>
    <w:rsid w:val="00CB7FA3"/>
    <w:rsid w:val="00CC3BDF"/>
    <w:rsid w:val="00CF3090"/>
    <w:rsid w:val="00CF485E"/>
    <w:rsid w:val="00CF5C11"/>
    <w:rsid w:val="00CF7F5A"/>
    <w:rsid w:val="00D10653"/>
    <w:rsid w:val="00D13325"/>
    <w:rsid w:val="00D14CA1"/>
    <w:rsid w:val="00D20FD2"/>
    <w:rsid w:val="00D21CFF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727AD"/>
    <w:rsid w:val="00D917DA"/>
    <w:rsid w:val="00D962D1"/>
    <w:rsid w:val="00DB310D"/>
    <w:rsid w:val="00DB40B3"/>
    <w:rsid w:val="00DB603E"/>
    <w:rsid w:val="00DC023A"/>
    <w:rsid w:val="00DC3159"/>
    <w:rsid w:val="00DC4E23"/>
    <w:rsid w:val="00DC5884"/>
    <w:rsid w:val="00DD09F6"/>
    <w:rsid w:val="00DD56C1"/>
    <w:rsid w:val="00DD56E9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86D"/>
    <w:rsid w:val="00E46A28"/>
    <w:rsid w:val="00E56D99"/>
    <w:rsid w:val="00E56EF3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389E"/>
    <w:rsid w:val="00F2693A"/>
    <w:rsid w:val="00F26E15"/>
    <w:rsid w:val="00F334D1"/>
    <w:rsid w:val="00F34A81"/>
    <w:rsid w:val="00F35976"/>
    <w:rsid w:val="00F40BF1"/>
    <w:rsid w:val="00F4231E"/>
    <w:rsid w:val="00F50EC2"/>
    <w:rsid w:val="00F53C28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B628-2661-45A9-9A7E-82C1186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3680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13</cp:revision>
  <cp:lastPrinted>2015-04-15T09:04:00Z</cp:lastPrinted>
  <dcterms:created xsi:type="dcterms:W3CDTF">2015-05-26T14:20:00Z</dcterms:created>
  <dcterms:modified xsi:type="dcterms:W3CDTF">2015-06-01T12:27:00Z</dcterms:modified>
</cp:coreProperties>
</file>